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90" w:rsidRDefault="00375190" w:rsidP="006B08AA">
      <w:pPr>
        <w:spacing w:after="0"/>
        <w:jc w:val="center"/>
        <w:rPr>
          <w:rFonts w:asciiTheme="majorHAnsi" w:hAnsiTheme="majorHAnsi" w:cstheme="majorHAnsi"/>
          <w:b/>
          <w:bCs/>
          <w:sz w:val="28"/>
          <w:lang w:val="es-UY"/>
        </w:rPr>
      </w:pPr>
    </w:p>
    <w:p w:rsidR="00375190" w:rsidRDefault="00375190" w:rsidP="006B08AA">
      <w:pPr>
        <w:spacing w:after="0"/>
        <w:jc w:val="center"/>
        <w:rPr>
          <w:rFonts w:asciiTheme="majorHAnsi" w:hAnsiTheme="majorHAnsi" w:cstheme="majorHAnsi"/>
          <w:b/>
          <w:bCs/>
          <w:sz w:val="28"/>
          <w:lang w:val="es-UY"/>
        </w:rPr>
      </w:pPr>
      <w:r>
        <w:rPr>
          <w:rFonts w:asciiTheme="majorHAnsi" w:hAnsiTheme="majorHAnsi" w:cstheme="majorHAnsi"/>
          <w:b/>
          <w:bCs/>
          <w:noProof/>
          <w:sz w:val="28"/>
          <w:lang w:val="es-UY" w:eastAsia="es-UY"/>
        </w:rPr>
        <w:drawing>
          <wp:inline distT="0" distB="0" distL="0" distR="0">
            <wp:extent cx="5400040" cy="10280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 Logos UXX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028065"/>
                    </a:xfrm>
                    <a:prstGeom prst="rect">
                      <a:avLst/>
                    </a:prstGeom>
                  </pic:spPr>
                </pic:pic>
              </a:graphicData>
            </a:graphic>
          </wp:inline>
        </w:drawing>
      </w:r>
    </w:p>
    <w:p w:rsidR="00375190" w:rsidRDefault="00375190" w:rsidP="006B08AA">
      <w:pPr>
        <w:spacing w:after="0"/>
        <w:jc w:val="center"/>
        <w:rPr>
          <w:rFonts w:asciiTheme="majorHAnsi" w:hAnsiTheme="majorHAnsi" w:cstheme="majorHAnsi"/>
          <w:b/>
          <w:bCs/>
          <w:sz w:val="28"/>
          <w:lang w:val="es-UY"/>
        </w:rPr>
      </w:pPr>
    </w:p>
    <w:p w:rsidR="00711781" w:rsidRDefault="00736C85" w:rsidP="00711781">
      <w:pPr>
        <w:spacing w:after="0"/>
        <w:jc w:val="center"/>
        <w:rPr>
          <w:rFonts w:asciiTheme="majorHAnsi" w:hAnsiTheme="majorHAnsi" w:cstheme="majorHAnsi"/>
          <w:b/>
          <w:bCs/>
          <w:sz w:val="28"/>
          <w:lang w:val="es-UY"/>
        </w:rPr>
      </w:pPr>
      <w:r w:rsidRPr="00D441DB">
        <w:rPr>
          <w:rFonts w:asciiTheme="majorHAnsi" w:hAnsiTheme="majorHAnsi" w:cstheme="majorHAnsi"/>
          <w:b/>
          <w:bCs/>
          <w:sz w:val="28"/>
          <w:lang w:val="es-UY"/>
        </w:rPr>
        <w:t>Ma</w:t>
      </w:r>
      <w:r w:rsidR="00C92B8C" w:rsidRPr="00D441DB">
        <w:rPr>
          <w:rFonts w:asciiTheme="majorHAnsi" w:hAnsiTheme="majorHAnsi" w:cstheme="majorHAnsi"/>
          <w:b/>
          <w:bCs/>
          <w:sz w:val="28"/>
          <w:lang w:val="es-UY"/>
        </w:rPr>
        <w:t>pe</w:t>
      </w:r>
      <w:r w:rsidRPr="00D441DB">
        <w:rPr>
          <w:rFonts w:asciiTheme="majorHAnsi" w:hAnsiTheme="majorHAnsi" w:cstheme="majorHAnsi"/>
          <w:b/>
          <w:bCs/>
          <w:sz w:val="28"/>
          <w:lang w:val="es-UY"/>
        </w:rPr>
        <w:t xml:space="preserve">o de limitantes y </w:t>
      </w:r>
      <w:r w:rsidR="00E66B92">
        <w:rPr>
          <w:rFonts w:asciiTheme="majorHAnsi" w:hAnsiTheme="majorHAnsi" w:cstheme="majorHAnsi"/>
          <w:b/>
          <w:bCs/>
          <w:sz w:val="28"/>
          <w:lang w:val="es-UY"/>
        </w:rPr>
        <w:t xml:space="preserve">desarrollo de </w:t>
      </w:r>
      <w:r w:rsidRPr="00D441DB">
        <w:rPr>
          <w:rFonts w:asciiTheme="majorHAnsi" w:hAnsiTheme="majorHAnsi" w:cstheme="majorHAnsi"/>
          <w:b/>
          <w:bCs/>
          <w:sz w:val="28"/>
          <w:lang w:val="es-UY"/>
        </w:rPr>
        <w:t xml:space="preserve">propuestas para </w:t>
      </w:r>
    </w:p>
    <w:p w:rsidR="00DF094C" w:rsidRPr="00D441DB" w:rsidRDefault="00C92B8C" w:rsidP="00711781">
      <w:pPr>
        <w:spacing w:after="0"/>
        <w:jc w:val="center"/>
        <w:rPr>
          <w:rFonts w:asciiTheme="majorHAnsi" w:hAnsiTheme="majorHAnsi" w:cstheme="majorHAnsi"/>
          <w:b/>
          <w:bCs/>
          <w:sz w:val="28"/>
          <w:lang w:val="es-UY"/>
        </w:rPr>
      </w:pPr>
      <w:r w:rsidRPr="00D441DB">
        <w:rPr>
          <w:rFonts w:asciiTheme="majorHAnsi" w:hAnsiTheme="majorHAnsi" w:cstheme="majorHAnsi"/>
          <w:b/>
          <w:bCs/>
          <w:sz w:val="28"/>
          <w:lang w:val="es-UY"/>
        </w:rPr>
        <w:t>la valorización de la investigación</w:t>
      </w:r>
      <w:r w:rsidR="00736C85" w:rsidRPr="00D441DB">
        <w:rPr>
          <w:rFonts w:asciiTheme="majorHAnsi" w:hAnsiTheme="majorHAnsi" w:cstheme="majorHAnsi"/>
          <w:b/>
          <w:bCs/>
          <w:sz w:val="28"/>
          <w:lang w:val="es-UY"/>
        </w:rPr>
        <w:t xml:space="preserve"> </w:t>
      </w:r>
    </w:p>
    <w:p w:rsidR="00C92B8C" w:rsidRPr="00D441DB" w:rsidRDefault="00C92B8C">
      <w:pPr>
        <w:rPr>
          <w:rFonts w:asciiTheme="majorHAnsi" w:hAnsiTheme="majorHAnsi" w:cstheme="majorHAnsi"/>
          <w:lang w:val="es-UY"/>
        </w:rPr>
      </w:pPr>
    </w:p>
    <w:p w:rsidR="0028035E" w:rsidRPr="00D441DB" w:rsidRDefault="004E265E" w:rsidP="00C92B8C">
      <w:pPr>
        <w:jc w:val="both"/>
        <w:rPr>
          <w:rFonts w:asciiTheme="majorHAnsi" w:hAnsiTheme="majorHAnsi" w:cstheme="majorHAnsi"/>
          <w:b/>
          <w:lang w:val="es-UY"/>
        </w:rPr>
      </w:pPr>
      <w:r w:rsidRPr="00D441DB">
        <w:rPr>
          <w:rFonts w:asciiTheme="majorHAnsi" w:hAnsiTheme="majorHAnsi" w:cstheme="majorHAnsi"/>
          <w:b/>
          <w:lang w:val="es-UY"/>
        </w:rPr>
        <w:t xml:space="preserve">ANTECEDENTES </w:t>
      </w:r>
    </w:p>
    <w:p w:rsidR="00C92B8C" w:rsidRPr="00D441DB" w:rsidRDefault="00C92B8C" w:rsidP="00C92B8C">
      <w:pPr>
        <w:jc w:val="both"/>
        <w:rPr>
          <w:rFonts w:asciiTheme="majorHAnsi" w:hAnsiTheme="majorHAnsi" w:cstheme="majorHAnsi"/>
          <w:lang w:val="es-UY"/>
        </w:rPr>
      </w:pPr>
      <w:r w:rsidRPr="00D441DB">
        <w:rPr>
          <w:rFonts w:asciiTheme="majorHAnsi" w:hAnsiTheme="majorHAnsi" w:cstheme="majorHAnsi"/>
          <w:lang w:val="es-UY"/>
        </w:rPr>
        <w:t xml:space="preserve">Uruguay ha avanzado en la generación de masa crítica en el sector académico </w:t>
      </w:r>
      <w:r w:rsidR="003B24F8" w:rsidRPr="00D441DB">
        <w:rPr>
          <w:rFonts w:asciiTheme="majorHAnsi" w:hAnsiTheme="majorHAnsi" w:cstheme="majorHAnsi"/>
          <w:lang w:val="es-UY"/>
        </w:rPr>
        <w:t xml:space="preserve">en parte impulsado por </w:t>
      </w:r>
      <w:r w:rsidRPr="00D441DB">
        <w:rPr>
          <w:rFonts w:asciiTheme="majorHAnsi" w:hAnsiTheme="majorHAnsi" w:cstheme="majorHAnsi"/>
          <w:lang w:val="es-UY"/>
        </w:rPr>
        <w:t xml:space="preserve">la creación </w:t>
      </w:r>
      <w:r w:rsidR="003B24F8" w:rsidRPr="00D441DB">
        <w:rPr>
          <w:rFonts w:asciiTheme="majorHAnsi" w:hAnsiTheme="majorHAnsi" w:cstheme="majorHAnsi"/>
          <w:lang w:val="es-UY"/>
        </w:rPr>
        <w:t xml:space="preserve">de la ANII y sus </w:t>
      </w:r>
      <w:r w:rsidRPr="00D441DB">
        <w:rPr>
          <w:rFonts w:asciiTheme="majorHAnsi" w:hAnsiTheme="majorHAnsi" w:cstheme="majorHAnsi"/>
          <w:lang w:val="es-UY"/>
        </w:rPr>
        <w:t>instrumentos que apuntalan el ecosistema de generación de conocimiento</w:t>
      </w:r>
      <w:r w:rsidR="003B24F8" w:rsidRPr="00D441DB">
        <w:rPr>
          <w:rFonts w:asciiTheme="majorHAnsi" w:hAnsiTheme="majorHAnsi" w:cstheme="majorHAnsi"/>
          <w:lang w:val="es-UY"/>
        </w:rPr>
        <w:t xml:space="preserve"> (</w:t>
      </w:r>
      <w:r w:rsidR="00D441DB" w:rsidRPr="00D441DB">
        <w:rPr>
          <w:rFonts w:asciiTheme="majorHAnsi" w:hAnsiTheme="majorHAnsi" w:cstheme="majorHAnsi"/>
          <w:lang w:val="es-UY"/>
        </w:rPr>
        <w:t xml:space="preserve">Sistema Nacional de Investigadores </w:t>
      </w:r>
      <w:r w:rsidR="00D441DB">
        <w:rPr>
          <w:rFonts w:asciiTheme="majorHAnsi" w:hAnsiTheme="majorHAnsi" w:cstheme="majorHAnsi"/>
          <w:lang w:val="es-UY"/>
        </w:rPr>
        <w:t xml:space="preserve">– </w:t>
      </w:r>
      <w:r w:rsidR="003B24F8" w:rsidRPr="00D441DB">
        <w:rPr>
          <w:rFonts w:asciiTheme="majorHAnsi" w:hAnsiTheme="majorHAnsi" w:cstheme="majorHAnsi"/>
          <w:lang w:val="es-UY"/>
        </w:rPr>
        <w:t>SN</w:t>
      </w:r>
      <w:r w:rsidR="004C112E">
        <w:rPr>
          <w:rFonts w:asciiTheme="majorHAnsi" w:hAnsiTheme="majorHAnsi" w:cstheme="majorHAnsi"/>
          <w:lang w:val="es-UY"/>
        </w:rPr>
        <w:t>I</w:t>
      </w:r>
      <w:r w:rsidR="00D441DB">
        <w:rPr>
          <w:rFonts w:asciiTheme="majorHAnsi" w:hAnsiTheme="majorHAnsi" w:cstheme="majorHAnsi"/>
          <w:lang w:val="es-UY"/>
        </w:rPr>
        <w:t xml:space="preserve"> -</w:t>
      </w:r>
      <w:r w:rsidR="003B24F8" w:rsidRPr="00D441DB">
        <w:rPr>
          <w:rFonts w:asciiTheme="majorHAnsi" w:hAnsiTheme="majorHAnsi" w:cstheme="majorHAnsi"/>
          <w:lang w:val="es-UY"/>
        </w:rPr>
        <w:t>, becas de postgrados entre otros)</w:t>
      </w:r>
      <w:r w:rsidR="004C112E">
        <w:rPr>
          <w:rFonts w:asciiTheme="majorHAnsi" w:hAnsiTheme="majorHAnsi" w:cstheme="majorHAnsi"/>
          <w:lang w:val="es-UY"/>
        </w:rPr>
        <w:t>; así como el fortalecimiento de las áreas y capacidades de investigación y los cargos de dedicación total en UDELAR; y el desarrollo de institutos de investigación.</w:t>
      </w:r>
    </w:p>
    <w:p w:rsidR="00C92B8C" w:rsidRPr="00D441DB" w:rsidRDefault="00C92B8C" w:rsidP="00C92B8C">
      <w:pPr>
        <w:jc w:val="both"/>
        <w:rPr>
          <w:rFonts w:asciiTheme="majorHAnsi" w:hAnsiTheme="majorHAnsi" w:cstheme="majorHAnsi"/>
          <w:lang w:val="es-UY"/>
        </w:rPr>
      </w:pPr>
      <w:r w:rsidRPr="00D441DB">
        <w:rPr>
          <w:rFonts w:asciiTheme="majorHAnsi" w:hAnsiTheme="majorHAnsi" w:cstheme="majorHAnsi"/>
          <w:lang w:val="es-UY"/>
        </w:rPr>
        <w:t>El SNI cuenta hoy con 1817 investigadores categorizados y se estima que otro tanto</w:t>
      </w:r>
      <w:r w:rsidR="009E768B" w:rsidRPr="00D441DB">
        <w:rPr>
          <w:rFonts w:asciiTheme="majorHAnsi" w:hAnsiTheme="majorHAnsi" w:cstheme="majorHAnsi"/>
          <w:lang w:val="es-UY"/>
        </w:rPr>
        <w:t xml:space="preserve">, </w:t>
      </w:r>
      <w:r w:rsidRPr="00D441DB">
        <w:rPr>
          <w:rFonts w:asciiTheme="majorHAnsi" w:hAnsiTheme="majorHAnsi" w:cstheme="majorHAnsi"/>
          <w:lang w:val="es-UY"/>
        </w:rPr>
        <w:t>en áreas más tecnológicas, medicina y de las ingenierías</w:t>
      </w:r>
      <w:r w:rsidR="009E768B" w:rsidRPr="00D441DB">
        <w:rPr>
          <w:rFonts w:asciiTheme="majorHAnsi" w:hAnsiTheme="majorHAnsi" w:cstheme="majorHAnsi"/>
          <w:lang w:val="es-UY"/>
        </w:rPr>
        <w:t>,</w:t>
      </w:r>
      <w:r w:rsidRPr="00D441DB">
        <w:rPr>
          <w:rFonts w:asciiTheme="majorHAnsi" w:hAnsiTheme="majorHAnsi" w:cstheme="majorHAnsi"/>
          <w:lang w:val="es-UY"/>
        </w:rPr>
        <w:t xml:space="preserve"> están fuera del SNI. En 1999, el antiguo Fondo Nacional de Investigadores (FNI) tenía 153 investigadores que fueron seleccionados entre 702 aspirantes. Con la crisis económica del </w:t>
      </w:r>
      <w:r w:rsidR="00AC6FF0" w:rsidRPr="00D441DB">
        <w:rPr>
          <w:rFonts w:asciiTheme="majorHAnsi" w:hAnsiTheme="majorHAnsi" w:cstheme="majorHAnsi"/>
          <w:lang w:val="es-UY"/>
        </w:rPr>
        <w:t>2000-</w:t>
      </w:r>
      <w:r w:rsidRPr="00D441DB">
        <w:rPr>
          <w:rFonts w:asciiTheme="majorHAnsi" w:hAnsiTheme="majorHAnsi" w:cstheme="majorHAnsi"/>
          <w:lang w:val="es-UY"/>
        </w:rPr>
        <w:t>2002 no se volvió a incorporar nuevos investigadores</w:t>
      </w:r>
      <w:r w:rsidR="00864F16" w:rsidRPr="00D441DB">
        <w:rPr>
          <w:rFonts w:asciiTheme="majorHAnsi" w:hAnsiTheme="majorHAnsi" w:cstheme="majorHAnsi"/>
          <w:lang w:val="es-UY"/>
        </w:rPr>
        <w:t>,</w:t>
      </w:r>
      <w:r w:rsidRPr="00D441DB">
        <w:rPr>
          <w:rFonts w:asciiTheme="majorHAnsi" w:hAnsiTheme="majorHAnsi" w:cstheme="majorHAnsi"/>
          <w:lang w:val="es-UY"/>
        </w:rPr>
        <w:t xml:space="preserve"> hasta el 2004 que </w:t>
      </w:r>
      <w:r w:rsidR="00864F16" w:rsidRPr="00D441DB">
        <w:rPr>
          <w:rFonts w:asciiTheme="majorHAnsi" w:hAnsiTheme="majorHAnsi" w:cstheme="majorHAnsi"/>
          <w:lang w:val="es-UY"/>
        </w:rPr>
        <w:t xml:space="preserve">ingresaron </w:t>
      </w:r>
      <w:r w:rsidRPr="00D441DB">
        <w:rPr>
          <w:rFonts w:asciiTheme="majorHAnsi" w:hAnsiTheme="majorHAnsi" w:cstheme="majorHAnsi"/>
          <w:lang w:val="es-UY"/>
        </w:rPr>
        <w:t>240 investigadores. En los siguientes 1</w:t>
      </w:r>
      <w:r w:rsidR="00AC6FF0" w:rsidRPr="00D441DB">
        <w:rPr>
          <w:rFonts w:asciiTheme="majorHAnsi" w:hAnsiTheme="majorHAnsi" w:cstheme="majorHAnsi"/>
          <w:lang w:val="es-UY"/>
        </w:rPr>
        <w:t>4</w:t>
      </w:r>
      <w:r w:rsidRPr="00D441DB">
        <w:rPr>
          <w:rFonts w:asciiTheme="majorHAnsi" w:hAnsiTheme="majorHAnsi" w:cstheme="majorHAnsi"/>
          <w:lang w:val="es-UY"/>
        </w:rPr>
        <w:t xml:space="preserve"> años</w:t>
      </w:r>
      <w:r w:rsidR="00864F16" w:rsidRPr="00D441DB">
        <w:rPr>
          <w:rFonts w:asciiTheme="majorHAnsi" w:hAnsiTheme="majorHAnsi" w:cstheme="majorHAnsi"/>
          <w:lang w:val="es-UY"/>
        </w:rPr>
        <w:t>,</w:t>
      </w:r>
      <w:r w:rsidRPr="00D441DB">
        <w:rPr>
          <w:rFonts w:asciiTheme="majorHAnsi" w:hAnsiTheme="majorHAnsi" w:cstheme="majorHAnsi"/>
          <w:lang w:val="es-UY"/>
        </w:rPr>
        <w:t xml:space="preserve"> el </w:t>
      </w:r>
      <w:r w:rsidR="00864F16" w:rsidRPr="00D441DB">
        <w:rPr>
          <w:rFonts w:asciiTheme="majorHAnsi" w:hAnsiTheme="majorHAnsi" w:cstheme="majorHAnsi"/>
          <w:lang w:val="es-UY"/>
        </w:rPr>
        <w:t xml:space="preserve">número de investigadores del </w:t>
      </w:r>
      <w:r w:rsidRPr="00D441DB">
        <w:rPr>
          <w:rFonts w:asciiTheme="majorHAnsi" w:hAnsiTheme="majorHAnsi" w:cstheme="majorHAnsi"/>
          <w:lang w:val="es-UY"/>
        </w:rPr>
        <w:t xml:space="preserve">SNI creció </w:t>
      </w:r>
      <w:r w:rsidR="0058030D" w:rsidRPr="00D441DB">
        <w:rPr>
          <w:rFonts w:asciiTheme="majorHAnsi" w:hAnsiTheme="majorHAnsi" w:cstheme="majorHAnsi"/>
          <w:lang w:val="es-UY"/>
        </w:rPr>
        <w:t>considerablemente</w:t>
      </w:r>
      <w:r w:rsidRPr="00D441DB">
        <w:rPr>
          <w:rFonts w:asciiTheme="majorHAnsi" w:hAnsiTheme="majorHAnsi" w:cstheme="majorHAnsi"/>
          <w:lang w:val="es-UY"/>
        </w:rPr>
        <w:t xml:space="preserve"> sin poder abarcar a todos los investigadores de las diferentes áreas</w:t>
      </w:r>
      <w:r w:rsidR="004C112E">
        <w:rPr>
          <w:rFonts w:asciiTheme="majorHAnsi" w:hAnsiTheme="majorHAnsi" w:cstheme="majorHAnsi"/>
          <w:lang w:val="es-UY"/>
        </w:rPr>
        <w:t>,</w:t>
      </w:r>
      <w:r w:rsidRPr="00D441DB">
        <w:rPr>
          <w:rFonts w:asciiTheme="majorHAnsi" w:hAnsiTheme="majorHAnsi" w:cstheme="majorHAnsi"/>
          <w:lang w:val="es-UY"/>
        </w:rPr>
        <w:t xml:space="preserve"> centrándose fundamentalmente en las áreas científicas duras</w:t>
      </w:r>
      <w:r w:rsidR="00AC6FF0" w:rsidRPr="00D441DB">
        <w:rPr>
          <w:rFonts w:asciiTheme="majorHAnsi" w:hAnsiTheme="majorHAnsi" w:cstheme="majorHAnsi"/>
          <w:lang w:val="es-UY"/>
        </w:rPr>
        <w:t xml:space="preserve"> y sociales</w:t>
      </w:r>
      <w:r w:rsidRPr="00D441DB">
        <w:rPr>
          <w:rFonts w:asciiTheme="majorHAnsi" w:hAnsiTheme="majorHAnsi" w:cstheme="majorHAnsi"/>
          <w:lang w:val="es-UY"/>
        </w:rPr>
        <w:t>.</w:t>
      </w:r>
    </w:p>
    <w:p w:rsidR="00C92B8C" w:rsidRPr="005D6E56" w:rsidRDefault="00C92B8C" w:rsidP="00C92B8C">
      <w:pPr>
        <w:jc w:val="both"/>
        <w:rPr>
          <w:rFonts w:asciiTheme="majorHAnsi" w:hAnsiTheme="majorHAnsi" w:cstheme="majorHAnsi"/>
          <w:lang w:val="es-UY"/>
        </w:rPr>
      </w:pPr>
      <w:r w:rsidRPr="005D6E56">
        <w:rPr>
          <w:rFonts w:asciiTheme="majorHAnsi" w:hAnsiTheme="majorHAnsi" w:cstheme="majorHAnsi"/>
          <w:lang w:val="es-UY"/>
        </w:rPr>
        <w:t xml:space="preserve">Sin embargo, </w:t>
      </w:r>
      <w:r w:rsidR="00932697" w:rsidRPr="005D6E56">
        <w:rPr>
          <w:rFonts w:asciiTheme="majorHAnsi" w:hAnsiTheme="majorHAnsi" w:cstheme="majorHAnsi"/>
          <w:lang w:val="es-UY"/>
        </w:rPr>
        <w:t>si bien aumentó el número de investigadores cada 1</w:t>
      </w:r>
      <w:r w:rsidR="00141951" w:rsidRPr="005D6E56">
        <w:rPr>
          <w:rFonts w:asciiTheme="majorHAnsi" w:hAnsiTheme="majorHAnsi" w:cstheme="majorHAnsi"/>
          <w:lang w:val="es-UY"/>
        </w:rPr>
        <w:t>.</w:t>
      </w:r>
      <w:r w:rsidR="00932697" w:rsidRPr="005D6E56">
        <w:rPr>
          <w:rFonts w:asciiTheme="majorHAnsi" w:hAnsiTheme="majorHAnsi" w:cstheme="majorHAnsi"/>
          <w:lang w:val="es-UY"/>
        </w:rPr>
        <w:t>000 personas económicamente activas</w:t>
      </w:r>
      <w:r w:rsidR="0046642E" w:rsidRPr="005D6E56">
        <w:rPr>
          <w:rFonts w:asciiTheme="majorHAnsi" w:hAnsiTheme="majorHAnsi" w:cstheme="majorHAnsi"/>
          <w:lang w:val="es-UY"/>
        </w:rPr>
        <w:t xml:space="preserve"> (PEA)</w:t>
      </w:r>
      <w:r w:rsidR="00932697" w:rsidRPr="005D6E56">
        <w:rPr>
          <w:rFonts w:asciiTheme="majorHAnsi" w:hAnsiTheme="majorHAnsi" w:cstheme="majorHAnsi"/>
          <w:lang w:val="es-UY"/>
        </w:rPr>
        <w:t xml:space="preserve"> del Uruguay, esto no </w:t>
      </w:r>
      <w:r w:rsidR="00535148" w:rsidRPr="005D6E56">
        <w:rPr>
          <w:rFonts w:asciiTheme="majorHAnsi" w:hAnsiTheme="majorHAnsi" w:cstheme="majorHAnsi"/>
          <w:lang w:val="es-UY"/>
        </w:rPr>
        <w:t xml:space="preserve">generó mejoras </w:t>
      </w:r>
      <w:r w:rsidRPr="005D6E56">
        <w:rPr>
          <w:rFonts w:asciiTheme="majorHAnsi" w:hAnsiTheme="majorHAnsi" w:cstheme="majorHAnsi"/>
          <w:lang w:val="es-UY"/>
        </w:rPr>
        <w:t xml:space="preserve">en </w:t>
      </w:r>
      <w:r w:rsidR="00535148" w:rsidRPr="005D6E56">
        <w:rPr>
          <w:rFonts w:asciiTheme="majorHAnsi" w:hAnsiTheme="majorHAnsi" w:cstheme="majorHAnsi"/>
          <w:lang w:val="es-UY"/>
        </w:rPr>
        <w:t xml:space="preserve">otros </w:t>
      </w:r>
      <w:r w:rsidR="00141951" w:rsidRPr="005D6E56">
        <w:rPr>
          <w:rFonts w:asciiTheme="majorHAnsi" w:hAnsiTheme="majorHAnsi" w:cstheme="majorHAnsi"/>
          <w:lang w:val="es-UY"/>
        </w:rPr>
        <w:t>parámetros</w:t>
      </w:r>
      <w:r w:rsidRPr="005D6E56">
        <w:rPr>
          <w:rFonts w:asciiTheme="majorHAnsi" w:hAnsiTheme="majorHAnsi" w:cstheme="majorHAnsi"/>
          <w:lang w:val="es-UY"/>
        </w:rPr>
        <w:t xml:space="preserve"> </w:t>
      </w:r>
      <w:r w:rsidR="00932697" w:rsidRPr="005D6E56">
        <w:rPr>
          <w:rFonts w:asciiTheme="majorHAnsi" w:hAnsiTheme="majorHAnsi" w:cstheme="majorHAnsi"/>
          <w:lang w:val="es-UY"/>
        </w:rPr>
        <w:t xml:space="preserve">comúnmente utilizados </w:t>
      </w:r>
      <w:r w:rsidRPr="005D6E56">
        <w:rPr>
          <w:rFonts w:asciiTheme="majorHAnsi" w:hAnsiTheme="majorHAnsi" w:cstheme="majorHAnsi"/>
          <w:lang w:val="es-UY"/>
        </w:rPr>
        <w:t>para medir la innovación de un país</w:t>
      </w:r>
      <w:r w:rsidR="00141951" w:rsidRPr="005D6E56">
        <w:rPr>
          <w:rFonts w:asciiTheme="majorHAnsi" w:hAnsiTheme="majorHAnsi" w:cstheme="majorHAnsi"/>
          <w:lang w:val="es-UY"/>
        </w:rPr>
        <w:t xml:space="preserve"> como</w:t>
      </w:r>
      <w:r w:rsidRPr="005D6E56">
        <w:rPr>
          <w:rFonts w:asciiTheme="majorHAnsi" w:hAnsiTheme="majorHAnsi" w:cstheme="majorHAnsi"/>
          <w:lang w:val="es-UY"/>
        </w:rPr>
        <w:t xml:space="preserve">: </w:t>
      </w:r>
      <w:r w:rsidR="007F69AC" w:rsidRPr="005D6E56">
        <w:rPr>
          <w:rFonts w:asciiTheme="majorHAnsi" w:hAnsiTheme="majorHAnsi" w:cstheme="majorHAnsi"/>
          <w:lang w:val="es-UY"/>
        </w:rPr>
        <w:t>proyectos de</w:t>
      </w:r>
      <w:r w:rsidR="00D05F85" w:rsidRPr="005D6E56">
        <w:rPr>
          <w:rFonts w:asciiTheme="majorHAnsi" w:hAnsiTheme="majorHAnsi" w:cstheme="majorHAnsi"/>
          <w:lang w:val="es-UY"/>
        </w:rPr>
        <w:t xml:space="preserve"> innovación</w:t>
      </w:r>
      <w:r w:rsidR="007F69AC" w:rsidRPr="005D6E56">
        <w:rPr>
          <w:rFonts w:asciiTheme="majorHAnsi" w:hAnsiTheme="majorHAnsi" w:cstheme="majorHAnsi"/>
          <w:lang w:val="es-UY"/>
        </w:rPr>
        <w:t xml:space="preserve">, </w:t>
      </w:r>
      <w:r w:rsidRPr="005D6E56">
        <w:rPr>
          <w:rFonts w:asciiTheme="majorHAnsi" w:hAnsiTheme="majorHAnsi" w:cstheme="majorHAnsi"/>
          <w:lang w:val="es-UY"/>
        </w:rPr>
        <w:t>patentes, transferencias tecnológicas exitosas que llegan al mercado, spin-</w:t>
      </w:r>
      <w:proofErr w:type="spellStart"/>
      <w:r w:rsidRPr="005D6E56">
        <w:rPr>
          <w:rFonts w:asciiTheme="majorHAnsi" w:hAnsiTheme="majorHAnsi" w:cstheme="majorHAnsi"/>
          <w:lang w:val="es-UY"/>
        </w:rPr>
        <w:t>offs</w:t>
      </w:r>
      <w:proofErr w:type="spellEnd"/>
      <w:r w:rsidRPr="005D6E56">
        <w:rPr>
          <w:rFonts w:asciiTheme="majorHAnsi" w:hAnsiTheme="majorHAnsi" w:cstheme="majorHAnsi"/>
          <w:lang w:val="es-UY"/>
        </w:rPr>
        <w:t xml:space="preserve"> creadas, inversiones en </w:t>
      </w:r>
      <w:proofErr w:type="spellStart"/>
      <w:r w:rsidRPr="005D6E56">
        <w:rPr>
          <w:rFonts w:asciiTheme="majorHAnsi" w:hAnsiTheme="majorHAnsi" w:cstheme="majorHAnsi"/>
          <w:lang w:val="es-UY"/>
        </w:rPr>
        <w:t>start</w:t>
      </w:r>
      <w:proofErr w:type="spellEnd"/>
      <w:r w:rsidRPr="005D6E56">
        <w:rPr>
          <w:rFonts w:asciiTheme="majorHAnsi" w:hAnsiTheme="majorHAnsi" w:cstheme="majorHAnsi"/>
          <w:lang w:val="es-UY"/>
        </w:rPr>
        <w:t>-ups</w:t>
      </w:r>
      <w:r w:rsidR="009E768B" w:rsidRPr="005D6E56">
        <w:rPr>
          <w:rFonts w:asciiTheme="majorHAnsi" w:hAnsiTheme="majorHAnsi" w:cstheme="majorHAnsi"/>
          <w:lang w:val="es-UY"/>
        </w:rPr>
        <w:t xml:space="preserve"> fruto de </w:t>
      </w:r>
      <w:proofErr w:type="spellStart"/>
      <w:r w:rsidR="009E768B" w:rsidRPr="005D6E56">
        <w:rPr>
          <w:rFonts w:asciiTheme="majorHAnsi" w:hAnsiTheme="majorHAnsi" w:cstheme="majorHAnsi"/>
          <w:lang w:val="es-UY"/>
        </w:rPr>
        <w:t>spinn-offs</w:t>
      </w:r>
      <w:proofErr w:type="spellEnd"/>
      <w:r w:rsidRPr="005D6E56">
        <w:rPr>
          <w:rFonts w:asciiTheme="majorHAnsi" w:hAnsiTheme="majorHAnsi" w:cstheme="majorHAnsi"/>
          <w:lang w:val="es-UY"/>
        </w:rPr>
        <w:t xml:space="preserve">, </w:t>
      </w:r>
      <w:r w:rsidR="009E768B" w:rsidRPr="005D6E56">
        <w:rPr>
          <w:rFonts w:asciiTheme="majorHAnsi" w:hAnsiTheme="majorHAnsi" w:cstheme="majorHAnsi"/>
          <w:lang w:val="es-UY"/>
        </w:rPr>
        <w:t xml:space="preserve">exportación de servicios de </w:t>
      </w:r>
      <w:r w:rsidR="007F69AC" w:rsidRPr="005D6E56">
        <w:rPr>
          <w:rFonts w:asciiTheme="majorHAnsi" w:hAnsiTheme="majorHAnsi" w:cstheme="majorHAnsi"/>
          <w:lang w:val="es-UY"/>
        </w:rPr>
        <w:t>I</w:t>
      </w:r>
      <w:r w:rsidR="009E768B" w:rsidRPr="005D6E56">
        <w:rPr>
          <w:rFonts w:asciiTheme="majorHAnsi" w:hAnsiTheme="majorHAnsi" w:cstheme="majorHAnsi"/>
          <w:lang w:val="es-UY"/>
        </w:rPr>
        <w:t>+</w:t>
      </w:r>
      <w:r w:rsidR="007F69AC" w:rsidRPr="005D6E56">
        <w:rPr>
          <w:rFonts w:asciiTheme="majorHAnsi" w:hAnsiTheme="majorHAnsi" w:cstheme="majorHAnsi"/>
          <w:lang w:val="es-UY"/>
        </w:rPr>
        <w:t>D</w:t>
      </w:r>
      <w:r w:rsidR="009E768B" w:rsidRPr="005D6E56">
        <w:rPr>
          <w:rFonts w:asciiTheme="majorHAnsi" w:hAnsiTheme="majorHAnsi" w:cstheme="majorHAnsi"/>
          <w:lang w:val="es-UY"/>
        </w:rPr>
        <w:t>.</w:t>
      </w:r>
    </w:p>
    <w:p w:rsidR="008C7940" w:rsidRPr="00D441DB" w:rsidRDefault="009E768B" w:rsidP="00C92B8C">
      <w:pPr>
        <w:jc w:val="both"/>
        <w:rPr>
          <w:rFonts w:asciiTheme="majorHAnsi" w:hAnsiTheme="majorHAnsi" w:cstheme="majorHAnsi"/>
          <w:lang w:val="es-UY"/>
        </w:rPr>
      </w:pPr>
      <w:r w:rsidRPr="00D441DB">
        <w:rPr>
          <w:rFonts w:asciiTheme="majorHAnsi" w:hAnsiTheme="majorHAnsi" w:cstheme="majorHAnsi"/>
          <w:lang w:val="es-UY"/>
        </w:rPr>
        <w:t>Es de suponer que h</w:t>
      </w:r>
      <w:r w:rsidR="00C92B8C" w:rsidRPr="00D441DB">
        <w:rPr>
          <w:rFonts w:asciiTheme="majorHAnsi" w:hAnsiTheme="majorHAnsi" w:cstheme="majorHAnsi"/>
          <w:lang w:val="es-UY"/>
        </w:rPr>
        <w:t>ay una serie de obstáculos para que est</w:t>
      </w:r>
      <w:r w:rsidR="008C7940" w:rsidRPr="00D441DB">
        <w:rPr>
          <w:rFonts w:asciiTheme="majorHAnsi" w:hAnsiTheme="majorHAnsi" w:cstheme="majorHAnsi"/>
          <w:lang w:val="es-UY"/>
        </w:rPr>
        <w:t xml:space="preserve">os resultados no </w:t>
      </w:r>
      <w:r w:rsidR="00C92B8C" w:rsidRPr="00D441DB">
        <w:rPr>
          <w:rFonts w:asciiTheme="majorHAnsi" w:hAnsiTheme="majorHAnsi" w:cstheme="majorHAnsi"/>
          <w:lang w:val="es-UY"/>
        </w:rPr>
        <w:t>se haya</w:t>
      </w:r>
      <w:r w:rsidR="008C7940" w:rsidRPr="00D441DB">
        <w:rPr>
          <w:rFonts w:asciiTheme="majorHAnsi" w:hAnsiTheme="majorHAnsi" w:cstheme="majorHAnsi"/>
          <w:lang w:val="es-UY"/>
        </w:rPr>
        <w:t>n</w:t>
      </w:r>
      <w:r w:rsidR="00C92B8C" w:rsidRPr="00D441DB">
        <w:rPr>
          <w:rFonts w:asciiTheme="majorHAnsi" w:hAnsiTheme="majorHAnsi" w:cstheme="majorHAnsi"/>
          <w:lang w:val="es-UY"/>
        </w:rPr>
        <w:t xml:space="preserve"> dado</w:t>
      </w:r>
      <w:r w:rsidR="008C7940" w:rsidRPr="00D441DB">
        <w:rPr>
          <w:rFonts w:asciiTheme="majorHAnsi" w:hAnsiTheme="majorHAnsi" w:cstheme="majorHAnsi"/>
          <w:lang w:val="es-UY"/>
        </w:rPr>
        <w:t xml:space="preserve">, cuyas raíces pueden ser aspectos </w:t>
      </w:r>
      <w:r w:rsidR="00141951" w:rsidRPr="00D441DB">
        <w:rPr>
          <w:rFonts w:asciiTheme="majorHAnsi" w:hAnsiTheme="majorHAnsi" w:cstheme="majorHAnsi"/>
          <w:lang w:val="es-UY"/>
        </w:rPr>
        <w:t>institucionales</w:t>
      </w:r>
      <w:r w:rsidR="00141951">
        <w:rPr>
          <w:rFonts w:asciiTheme="majorHAnsi" w:hAnsiTheme="majorHAnsi" w:cstheme="majorHAnsi"/>
          <w:lang w:val="es-UY"/>
        </w:rPr>
        <w:t xml:space="preserve"> y/o</w:t>
      </w:r>
      <w:r w:rsidR="00141951" w:rsidRPr="00D441DB">
        <w:rPr>
          <w:rFonts w:asciiTheme="majorHAnsi" w:hAnsiTheme="majorHAnsi" w:cstheme="majorHAnsi"/>
          <w:lang w:val="es-UY"/>
        </w:rPr>
        <w:t xml:space="preserve"> </w:t>
      </w:r>
      <w:r w:rsidR="008C7940" w:rsidRPr="00D441DB">
        <w:rPr>
          <w:rFonts w:asciiTheme="majorHAnsi" w:hAnsiTheme="majorHAnsi" w:cstheme="majorHAnsi"/>
          <w:lang w:val="es-UY"/>
        </w:rPr>
        <w:t>culturales (</w:t>
      </w:r>
      <w:r w:rsidR="00141951">
        <w:rPr>
          <w:rFonts w:asciiTheme="majorHAnsi" w:hAnsiTheme="majorHAnsi" w:cstheme="majorHAnsi"/>
          <w:lang w:val="es-UY"/>
        </w:rPr>
        <w:t xml:space="preserve">ej. </w:t>
      </w:r>
      <w:r w:rsidR="00535148">
        <w:rPr>
          <w:rFonts w:asciiTheme="majorHAnsi" w:hAnsiTheme="majorHAnsi" w:cstheme="majorHAnsi"/>
          <w:lang w:val="es-UY"/>
        </w:rPr>
        <w:t xml:space="preserve">falta de incentivos adecuados para vincularse con el sector privado/productivo, </w:t>
      </w:r>
      <w:r w:rsidR="00382BF3" w:rsidRPr="00382BF3">
        <w:rPr>
          <w:rFonts w:asciiTheme="majorHAnsi" w:hAnsiTheme="majorHAnsi" w:cstheme="majorHAnsi"/>
          <w:lang w:val="es-UY"/>
        </w:rPr>
        <w:t>sistema de evaluación de desempeño del investigador</w:t>
      </w:r>
      <w:r w:rsidR="00382BF3">
        <w:rPr>
          <w:rFonts w:asciiTheme="majorHAnsi" w:hAnsiTheme="majorHAnsi" w:cstheme="majorHAnsi"/>
          <w:lang w:val="es-UY"/>
        </w:rPr>
        <w:t xml:space="preserve">, </w:t>
      </w:r>
      <w:r w:rsidR="008C7940" w:rsidRPr="00D441DB">
        <w:rPr>
          <w:rFonts w:asciiTheme="majorHAnsi" w:hAnsiTheme="majorHAnsi" w:cstheme="majorHAnsi"/>
          <w:lang w:val="es-UY"/>
        </w:rPr>
        <w:t xml:space="preserve">visión </w:t>
      </w:r>
      <w:r w:rsidR="00141951">
        <w:rPr>
          <w:rFonts w:asciiTheme="majorHAnsi" w:hAnsiTheme="majorHAnsi" w:cstheme="majorHAnsi"/>
          <w:lang w:val="es-UY"/>
        </w:rPr>
        <w:t xml:space="preserve">institucional </w:t>
      </w:r>
      <w:r w:rsidR="008C7940" w:rsidRPr="00D441DB">
        <w:rPr>
          <w:rFonts w:asciiTheme="majorHAnsi" w:hAnsiTheme="majorHAnsi" w:cstheme="majorHAnsi"/>
          <w:lang w:val="es-UY"/>
        </w:rPr>
        <w:t xml:space="preserve">sobre el vínculo con el sector privado), restricciones </w:t>
      </w:r>
      <w:r w:rsidR="0058030D" w:rsidRPr="00D441DB">
        <w:rPr>
          <w:rFonts w:asciiTheme="majorHAnsi" w:hAnsiTheme="majorHAnsi" w:cstheme="majorHAnsi"/>
          <w:lang w:val="es-UY"/>
        </w:rPr>
        <w:t>formales</w:t>
      </w:r>
      <w:r w:rsidR="008C7940" w:rsidRPr="00D441DB">
        <w:rPr>
          <w:rFonts w:asciiTheme="majorHAnsi" w:hAnsiTheme="majorHAnsi" w:cstheme="majorHAnsi"/>
          <w:lang w:val="es-UY"/>
        </w:rPr>
        <w:t xml:space="preserve"> (ej. Régimen de</w:t>
      </w:r>
      <w:r w:rsidR="007F69AC" w:rsidRPr="00D441DB">
        <w:rPr>
          <w:rFonts w:asciiTheme="majorHAnsi" w:hAnsiTheme="majorHAnsi" w:cstheme="majorHAnsi"/>
          <w:lang w:val="es-UY"/>
        </w:rPr>
        <w:t xml:space="preserve"> Dedicación Total </w:t>
      </w:r>
      <w:r w:rsidR="008C7940" w:rsidRPr="00D441DB">
        <w:rPr>
          <w:rFonts w:asciiTheme="majorHAnsi" w:hAnsiTheme="majorHAnsi" w:cstheme="majorHAnsi"/>
          <w:lang w:val="es-UY"/>
        </w:rPr>
        <w:t xml:space="preserve">de la </w:t>
      </w:r>
      <w:proofErr w:type="spellStart"/>
      <w:r w:rsidR="008C7940" w:rsidRPr="00D441DB">
        <w:rPr>
          <w:rFonts w:asciiTheme="majorHAnsi" w:hAnsiTheme="majorHAnsi" w:cstheme="majorHAnsi"/>
          <w:lang w:val="es-UY"/>
        </w:rPr>
        <w:t>UdelaR</w:t>
      </w:r>
      <w:proofErr w:type="spellEnd"/>
      <w:r w:rsidR="008C7940" w:rsidRPr="00D441DB">
        <w:rPr>
          <w:rFonts w:asciiTheme="majorHAnsi" w:hAnsiTheme="majorHAnsi" w:cstheme="majorHAnsi"/>
          <w:lang w:val="es-UY"/>
        </w:rPr>
        <w:t xml:space="preserve">, Texto Ordenado de la Contabilidad y Administración Financiera del Estado </w:t>
      </w:r>
      <w:r w:rsidR="00736C85" w:rsidRPr="00D441DB">
        <w:rPr>
          <w:rFonts w:asciiTheme="majorHAnsi" w:hAnsiTheme="majorHAnsi" w:cstheme="majorHAnsi"/>
          <w:lang w:val="es-UY"/>
        </w:rPr>
        <w:t>–</w:t>
      </w:r>
      <w:r w:rsidR="008C7940" w:rsidRPr="00D441DB">
        <w:rPr>
          <w:rFonts w:asciiTheme="majorHAnsi" w:hAnsiTheme="majorHAnsi" w:cstheme="majorHAnsi"/>
          <w:lang w:val="es-UY"/>
        </w:rPr>
        <w:t xml:space="preserve"> TOCAF</w:t>
      </w:r>
      <w:r w:rsidR="00736C85" w:rsidRPr="00D441DB">
        <w:rPr>
          <w:rFonts w:asciiTheme="majorHAnsi" w:hAnsiTheme="majorHAnsi" w:cstheme="majorHAnsi"/>
          <w:lang w:val="es-UY"/>
        </w:rPr>
        <w:t>)</w:t>
      </w:r>
      <w:r w:rsidR="008C7940" w:rsidRPr="00D441DB">
        <w:rPr>
          <w:rFonts w:asciiTheme="majorHAnsi" w:hAnsiTheme="majorHAnsi" w:cstheme="majorHAnsi"/>
          <w:lang w:val="es-UY"/>
        </w:rPr>
        <w:t xml:space="preserve">, </w:t>
      </w:r>
      <w:r w:rsidR="00754DB1" w:rsidRPr="00D441DB">
        <w:rPr>
          <w:rFonts w:asciiTheme="majorHAnsi" w:hAnsiTheme="majorHAnsi" w:cstheme="majorHAnsi"/>
          <w:lang w:val="es-UY"/>
        </w:rPr>
        <w:t>dificultad de acce</w:t>
      </w:r>
      <w:r w:rsidR="00535148">
        <w:rPr>
          <w:rFonts w:asciiTheme="majorHAnsi" w:hAnsiTheme="majorHAnsi" w:cstheme="majorHAnsi"/>
          <w:lang w:val="es-UY"/>
        </w:rPr>
        <w:t>der</w:t>
      </w:r>
      <w:r w:rsidR="00754DB1" w:rsidRPr="00D441DB">
        <w:rPr>
          <w:rFonts w:asciiTheme="majorHAnsi" w:hAnsiTheme="majorHAnsi" w:cstheme="majorHAnsi"/>
          <w:lang w:val="es-UY"/>
        </w:rPr>
        <w:t xml:space="preserve"> a fondos </w:t>
      </w:r>
      <w:r w:rsidR="00535148">
        <w:rPr>
          <w:rFonts w:asciiTheme="majorHAnsi" w:hAnsiTheme="majorHAnsi" w:cstheme="majorHAnsi"/>
          <w:lang w:val="es-UY"/>
        </w:rPr>
        <w:t xml:space="preserve">para el financiamiento </w:t>
      </w:r>
      <w:r w:rsidR="00754DB1" w:rsidRPr="00D441DB">
        <w:rPr>
          <w:rFonts w:asciiTheme="majorHAnsi" w:hAnsiTheme="majorHAnsi" w:cstheme="majorHAnsi"/>
          <w:lang w:val="es-UY"/>
        </w:rPr>
        <w:t>de proyectos</w:t>
      </w:r>
      <w:r w:rsidR="00B427BD">
        <w:rPr>
          <w:rFonts w:asciiTheme="majorHAnsi" w:hAnsiTheme="majorHAnsi" w:cstheme="majorHAnsi"/>
          <w:lang w:val="es-UY"/>
        </w:rPr>
        <w:t xml:space="preserve"> y otras limitantes </w:t>
      </w:r>
      <w:r w:rsidR="00141951">
        <w:rPr>
          <w:rFonts w:asciiTheme="majorHAnsi" w:hAnsiTheme="majorHAnsi" w:cstheme="majorHAnsi"/>
          <w:lang w:val="es-UY"/>
        </w:rPr>
        <w:t xml:space="preserve">del ecosistema </w:t>
      </w:r>
      <w:r w:rsidR="00B427BD">
        <w:rPr>
          <w:rFonts w:asciiTheme="majorHAnsi" w:hAnsiTheme="majorHAnsi" w:cstheme="majorHAnsi"/>
          <w:lang w:val="es-UY"/>
        </w:rPr>
        <w:t xml:space="preserve">para el desarrollo y aceleración de emprendimientos. </w:t>
      </w:r>
    </w:p>
    <w:p w:rsidR="00AC6FF0" w:rsidRDefault="00AC6FF0" w:rsidP="00C92B8C">
      <w:pPr>
        <w:jc w:val="both"/>
        <w:rPr>
          <w:rFonts w:asciiTheme="majorHAnsi" w:hAnsiTheme="majorHAnsi" w:cstheme="majorHAnsi"/>
          <w:lang w:val="es-UY"/>
        </w:rPr>
      </w:pPr>
      <w:r w:rsidRPr="00D441DB">
        <w:rPr>
          <w:rFonts w:asciiTheme="majorHAnsi" w:hAnsiTheme="majorHAnsi" w:cstheme="majorHAnsi"/>
          <w:lang w:val="es-UY"/>
        </w:rPr>
        <w:t>Si bien</w:t>
      </w:r>
      <w:r w:rsidR="00736C85" w:rsidRPr="00D441DB">
        <w:rPr>
          <w:rFonts w:asciiTheme="majorHAnsi" w:hAnsiTheme="majorHAnsi" w:cstheme="majorHAnsi"/>
          <w:lang w:val="es-UY"/>
        </w:rPr>
        <w:t xml:space="preserve"> se ha dado alguna atención a restricciones formales y también </w:t>
      </w:r>
      <w:r w:rsidRPr="00D441DB">
        <w:rPr>
          <w:rFonts w:asciiTheme="majorHAnsi" w:hAnsiTheme="majorHAnsi" w:cstheme="majorHAnsi"/>
          <w:lang w:val="es-UY"/>
        </w:rPr>
        <w:t xml:space="preserve">hay instituciones académicas que han </w:t>
      </w:r>
      <w:r w:rsidR="00736C85" w:rsidRPr="00D441DB">
        <w:rPr>
          <w:rFonts w:asciiTheme="majorHAnsi" w:hAnsiTheme="majorHAnsi" w:cstheme="majorHAnsi"/>
          <w:lang w:val="es-UY"/>
        </w:rPr>
        <w:t>g</w:t>
      </w:r>
      <w:r w:rsidRPr="00D441DB">
        <w:rPr>
          <w:rFonts w:asciiTheme="majorHAnsi" w:hAnsiTheme="majorHAnsi" w:cstheme="majorHAnsi"/>
          <w:lang w:val="es-UY"/>
        </w:rPr>
        <w:t>enera</w:t>
      </w:r>
      <w:r w:rsidR="00736C85" w:rsidRPr="00D441DB">
        <w:rPr>
          <w:rFonts w:asciiTheme="majorHAnsi" w:hAnsiTheme="majorHAnsi" w:cstheme="majorHAnsi"/>
          <w:lang w:val="es-UY"/>
        </w:rPr>
        <w:t xml:space="preserve">do </w:t>
      </w:r>
      <w:r w:rsidR="007F69AC" w:rsidRPr="00D441DB">
        <w:rPr>
          <w:rFonts w:asciiTheme="majorHAnsi" w:hAnsiTheme="majorHAnsi" w:cstheme="majorHAnsi"/>
          <w:lang w:val="es-UY"/>
        </w:rPr>
        <w:t>O</w:t>
      </w:r>
      <w:r w:rsidRPr="00D441DB">
        <w:rPr>
          <w:rFonts w:asciiTheme="majorHAnsi" w:hAnsiTheme="majorHAnsi" w:cstheme="majorHAnsi"/>
          <w:lang w:val="es-UY"/>
        </w:rPr>
        <w:t xml:space="preserve">ficinas de </w:t>
      </w:r>
      <w:r w:rsidR="007F69AC" w:rsidRPr="00D441DB">
        <w:rPr>
          <w:rFonts w:asciiTheme="majorHAnsi" w:hAnsiTheme="majorHAnsi" w:cstheme="majorHAnsi"/>
          <w:lang w:val="es-UY"/>
        </w:rPr>
        <w:t>T</w:t>
      </w:r>
      <w:r w:rsidRPr="00D441DB">
        <w:rPr>
          <w:rFonts w:asciiTheme="majorHAnsi" w:hAnsiTheme="majorHAnsi" w:cstheme="majorHAnsi"/>
          <w:lang w:val="es-UY"/>
        </w:rPr>
        <w:t xml:space="preserve">ransferencia </w:t>
      </w:r>
      <w:r w:rsidR="007F69AC" w:rsidRPr="00D441DB">
        <w:rPr>
          <w:rFonts w:asciiTheme="majorHAnsi" w:hAnsiTheme="majorHAnsi" w:cstheme="majorHAnsi"/>
          <w:lang w:val="es-UY"/>
        </w:rPr>
        <w:t>T</w:t>
      </w:r>
      <w:r w:rsidRPr="00D441DB">
        <w:rPr>
          <w:rFonts w:asciiTheme="majorHAnsi" w:hAnsiTheme="majorHAnsi" w:cstheme="majorHAnsi"/>
          <w:lang w:val="es-UY"/>
        </w:rPr>
        <w:t>ecnológica</w:t>
      </w:r>
      <w:r w:rsidR="00BA39C7" w:rsidRPr="00D441DB">
        <w:rPr>
          <w:rFonts w:asciiTheme="majorHAnsi" w:hAnsiTheme="majorHAnsi" w:cstheme="majorHAnsi"/>
          <w:lang w:val="es-UY"/>
        </w:rPr>
        <w:t xml:space="preserve"> (</w:t>
      </w:r>
      <w:proofErr w:type="spellStart"/>
      <w:r w:rsidR="00BA39C7" w:rsidRPr="00D441DB">
        <w:rPr>
          <w:rFonts w:asciiTheme="majorHAnsi" w:hAnsiTheme="majorHAnsi" w:cstheme="majorHAnsi"/>
          <w:lang w:val="es-UY"/>
        </w:rPr>
        <w:t>OTTs</w:t>
      </w:r>
      <w:proofErr w:type="spellEnd"/>
      <w:r w:rsidR="00BA39C7" w:rsidRPr="00D441DB">
        <w:rPr>
          <w:rFonts w:asciiTheme="majorHAnsi" w:hAnsiTheme="majorHAnsi" w:cstheme="majorHAnsi"/>
          <w:lang w:val="es-UY"/>
        </w:rPr>
        <w:t>)</w:t>
      </w:r>
      <w:r w:rsidRPr="00D441DB">
        <w:rPr>
          <w:rFonts w:asciiTheme="majorHAnsi" w:hAnsiTheme="majorHAnsi" w:cstheme="majorHAnsi"/>
          <w:lang w:val="es-UY"/>
        </w:rPr>
        <w:t xml:space="preserve">, </w:t>
      </w:r>
      <w:r w:rsidR="00754DB1" w:rsidRPr="00D441DB">
        <w:rPr>
          <w:rFonts w:asciiTheme="majorHAnsi" w:hAnsiTheme="majorHAnsi" w:cstheme="majorHAnsi"/>
          <w:lang w:val="es-UY"/>
        </w:rPr>
        <w:t xml:space="preserve">son </w:t>
      </w:r>
      <w:r w:rsidR="00736C85" w:rsidRPr="00D441DB">
        <w:rPr>
          <w:rFonts w:asciiTheme="majorHAnsi" w:hAnsiTheme="majorHAnsi" w:cstheme="majorHAnsi"/>
          <w:lang w:val="es-UY"/>
        </w:rPr>
        <w:t xml:space="preserve">todos </w:t>
      </w:r>
      <w:r w:rsidR="00754DB1" w:rsidRPr="00D441DB">
        <w:rPr>
          <w:rFonts w:asciiTheme="majorHAnsi" w:hAnsiTheme="majorHAnsi" w:cstheme="majorHAnsi"/>
          <w:lang w:val="es-UY"/>
        </w:rPr>
        <w:t xml:space="preserve">esfuerzos </w:t>
      </w:r>
      <w:r w:rsidRPr="00D441DB">
        <w:rPr>
          <w:rFonts w:asciiTheme="majorHAnsi" w:hAnsiTheme="majorHAnsi" w:cstheme="majorHAnsi"/>
          <w:lang w:val="es-UY"/>
        </w:rPr>
        <w:t>limitado</w:t>
      </w:r>
      <w:r w:rsidR="00754DB1" w:rsidRPr="00D441DB">
        <w:rPr>
          <w:rFonts w:asciiTheme="majorHAnsi" w:hAnsiTheme="majorHAnsi" w:cstheme="majorHAnsi"/>
          <w:lang w:val="es-UY"/>
        </w:rPr>
        <w:t>s</w:t>
      </w:r>
      <w:r w:rsidR="00736C85" w:rsidRPr="00D441DB">
        <w:rPr>
          <w:rFonts w:asciiTheme="majorHAnsi" w:hAnsiTheme="majorHAnsi" w:cstheme="majorHAnsi"/>
          <w:lang w:val="es-UY"/>
        </w:rPr>
        <w:t>, que no alientan cambios de fondo en las condiciones que han conducido a la situación arriba descrita.</w:t>
      </w:r>
      <w:r w:rsidR="00754DB1" w:rsidRPr="00D441DB">
        <w:rPr>
          <w:rFonts w:asciiTheme="majorHAnsi" w:hAnsiTheme="majorHAnsi" w:cstheme="majorHAnsi"/>
          <w:lang w:val="es-UY"/>
        </w:rPr>
        <w:t xml:space="preserve"> </w:t>
      </w:r>
    </w:p>
    <w:p w:rsidR="00141951" w:rsidRDefault="00F44B3C" w:rsidP="00C92B8C">
      <w:pPr>
        <w:jc w:val="both"/>
        <w:rPr>
          <w:rFonts w:asciiTheme="majorHAnsi" w:hAnsiTheme="majorHAnsi" w:cstheme="majorHAnsi"/>
          <w:lang w:val="es-UY"/>
        </w:rPr>
      </w:pPr>
      <w:r w:rsidRPr="00D441DB">
        <w:rPr>
          <w:rFonts w:asciiTheme="majorHAnsi" w:hAnsiTheme="majorHAnsi" w:cstheme="majorHAnsi"/>
          <w:lang w:val="es-UY"/>
        </w:rPr>
        <w:t>El contar con un fuerte ecosistema académico para la investigación, fuertemente vinculado con el sector privado es un factor de éxito para la radicación de inversiones de alto impacto por su contenido tecnológico.</w:t>
      </w:r>
      <w:r>
        <w:rPr>
          <w:rFonts w:asciiTheme="majorHAnsi" w:hAnsiTheme="majorHAnsi" w:cstheme="majorHAnsi"/>
          <w:lang w:val="es-UY"/>
        </w:rPr>
        <w:t xml:space="preserve"> Es así que </w:t>
      </w:r>
      <w:r w:rsidR="00141951" w:rsidRPr="00141951">
        <w:rPr>
          <w:rFonts w:asciiTheme="majorHAnsi" w:hAnsiTheme="majorHAnsi" w:cstheme="majorHAnsi"/>
          <w:lang w:val="es-UY"/>
        </w:rPr>
        <w:t>el marco de</w:t>
      </w:r>
      <w:r w:rsidR="00141951">
        <w:rPr>
          <w:rFonts w:asciiTheme="majorHAnsi" w:hAnsiTheme="majorHAnsi" w:cstheme="majorHAnsi"/>
          <w:lang w:val="es-UY"/>
        </w:rPr>
        <w:t xml:space="preserve"> </w:t>
      </w:r>
      <w:r>
        <w:rPr>
          <w:rFonts w:asciiTheme="majorHAnsi" w:hAnsiTheme="majorHAnsi" w:cstheme="majorHAnsi"/>
          <w:lang w:val="es-UY"/>
        </w:rPr>
        <w:t>su</w:t>
      </w:r>
      <w:r w:rsidR="00141951">
        <w:rPr>
          <w:rFonts w:asciiTheme="majorHAnsi" w:hAnsiTheme="majorHAnsi" w:cstheme="majorHAnsi"/>
          <w:lang w:val="es-UY"/>
        </w:rPr>
        <w:t xml:space="preserve"> estrategia para la atracción de inversiones </w:t>
      </w:r>
      <w:r w:rsidR="00141951">
        <w:rPr>
          <w:rFonts w:asciiTheme="majorHAnsi" w:hAnsiTheme="majorHAnsi" w:cstheme="majorHAnsi"/>
          <w:lang w:val="es-UY"/>
        </w:rPr>
        <w:lastRenderedPageBreak/>
        <w:t xml:space="preserve">asociadas a la Innovación, Uruguay XXI en acuerdo con el PEDECIBA (UVITT), realizó un mapeo de Grupos académicos de I+D en segmentos dinámicos, e inició acciones de vinculación de estos grupos con prospectos internacionales y empresas ya instaladas en el país, </w:t>
      </w:r>
      <w:r w:rsidR="009743CA">
        <w:rPr>
          <w:rFonts w:asciiTheme="majorHAnsi" w:hAnsiTheme="majorHAnsi" w:cstheme="majorHAnsi"/>
          <w:lang w:val="es-UY"/>
        </w:rPr>
        <w:t>con el objetivo de promover proyectos</w:t>
      </w:r>
      <w:r w:rsidR="009C4845">
        <w:rPr>
          <w:rFonts w:asciiTheme="majorHAnsi" w:hAnsiTheme="majorHAnsi" w:cstheme="majorHAnsi"/>
          <w:lang w:val="es-UY"/>
        </w:rPr>
        <w:t xml:space="preserve"> y </w:t>
      </w:r>
      <w:r>
        <w:rPr>
          <w:rFonts w:asciiTheme="majorHAnsi" w:hAnsiTheme="majorHAnsi" w:cstheme="majorHAnsi"/>
          <w:lang w:val="es-UY"/>
        </w:rPr>
        <w:t>relaciones que viabilice futuras inversiones</w:t>
      </w:r>
      <w:r w:rsidR="009743CA">
        <w:rPr>
          <w:rFonts w:asciiTheme="majorHAnsi" w:hAnsiTheme="majorHAnsi" w:cstheme="majorHAnsi"/>
          <w:lang w:val="es-UY"/>
        </w:rPr>
        <w:t>. Se entiende necesario fortalecer esta estrategia con otras acciones de fondo que potencien los vínculos de la academia con el sector privado</w:t>
      </w:r>
      <w:r>
        <w:rPr>
          <w:rFonts w:asciiTheme="majorHAnsi" w:hAnsiTheme="majorHAnsi" w:cstheme="majorHAnsi"/>
          <w:lang w:val="es-UY"/>
        </w:rPr>
        <w:t>, alineadas a las definiciones de la Secretaría Nacional de Ciencia y Tecnología</w:t>
      </w:r>
      <w:r w:rsidR="005D6E56">
        <w:rPr>
          <w:rFonts w:asciiTheme="majorHAnsi" w:hAnsiTheme="majorHAnsi" w:cstheme="majorHAnsi"/>
          <w:lang w:val="es-UY"/>
        </w:rPr>
        <w:t xml:space="preserve">, que contribuyan a su vez al fortalecimiento de la Plataforma nacional de </w:t>
      </w:r>
      <w:proofErr w:type="spellStart"/>
      <w:r w:rsidR="005D6E56">
        <w:rPr>
          <w:rFonts w:asciiTheme="majorHAnsi" w:hAnsiTheme="majorHAnsi" w:cstheme="majorHAnsi"/>
          <w:lang w:val="es-UY"/>
        </w:rPr>
        <w:t>CyT</w:t>
      </w:r>
      <w:proofErr w:type="spellEnd"/>
      <w:r w:rsidR="005D6E56">
        <w:rPr>
          <w:rFonts w:asciiTheme="majorHAnsi" w:hAnsiTheme="majorHAnsi" w:cstheme="majorHAnsi"/>
          <w:lang w:val="es-UY"/>
        </w:rPr>
        <w:t>.</w:t>
      </w:r>
      <w:r>
        <w:rPr>
          <w:rFonts w:asciiTheme="majorHAnsi" w:hAnsiTheme="majorHAnsi" w:cstheme="majorHAnsi"/>
          <w:lang w:val="es-UY"/>
        </w:rPr>
        <w:t xml:space="preserve"> </w:t>
      </w:r>
    </w:p>
    <w:p w:rsidR="00711781" w:rsidRDefault="00711781" w:rsidP="00C92B8C">
      <w:pPr>
        <w:jc w:val="both"/>
        <w:rPr>
          <w:rFonts w:asciiTheme="majorHAnsi" w:hAnsiTheme="majorHAnsi" w:cstheme="majorHAnsi"/>
          <w:lang w:val="es-UY"/>
        </w:rPr>
      </w:pPr>
    </w:p>
    <w:p w:rsidR="0028035E" w:rsidRPr="00D441DB" w:rsidRDefault="004E265E" w:rsidP="00C92B8C">
      <w:pPr>
        <w:jc w:val="both"/>
        <w:rPr>
          <w:rFonts w:asciiTheme="majorHAnsi" w:hAnsiTheme="majorHAnsi" w:cstheme="majorHAnsi"/>
          <w:b/>
          <w:lang w:val="es-UY"/>
        </w:rPr>
      </w:pPr>
      <w:r w:rsidRPr="00D441DB">
        <w:rPr>
          <w:rFonts w:asciiTheme="majorHAnsi" w:hAnsiTheme="majorHAnsi" w:cstheme="majorHAnsi"/>
          <w:b/>
          <w:lang w:val="es-UY"/>
        </w:rPr>
        <w:t>OBJETIVO</w:t>
      </w:r>
    </w:p>
    <w:p w:rsidR="00424D61" w:rsidRPr="00D441DB" w:rsidRDefault="009743CA" w:rsidP="00C92B8C">
      <w:pPr>
        <w:jc w:val="both"/>
        <w:rPr>
          <w:rFonts w:asciiTheme="majorHAnsi" w:hAnsiTheme="majorHAnsi" w:cstheme="majorHAnsi"/>
          <w:lang w:val="es-UY"/>
        </w:rPr>
      </w:pPr>
      <w:r>
        <w:rPr>
          <w:rFonts w:asciiTheme="majorHAnsi" w:hAnsiTheme="majorHAnsi" w:cstheme="majorHAnsi"/>
          <w:lang w:val="es-UY"/>
        </w:rPr>
        <w:t>M</w:t>
      </w:r>
      <w:r w:rsidR="007F69AC" w:rsidRPr="00D441DB">
        <w:rPr>
          <w:rFonts w:asciiTheme="majorHAnsi" w:hAnsiTheme="majorHAnsi" w:cstheme="majorHAnsi"/>
          <w:lang w:val="es-UY"/>
        </w:rPr>
        <w:t>ediante la realización de esta c</w:t>
      </w:r>
      <w:r w:rsidR="00424D61" w:rsidRPr="00D441DB">
        <w:rPr>
          <w:rFonts w:asciiTheme="majorHAnsi" w:hAnsiTheme="majorHAnsi" w:cstheme="majorHAnsi"/>
          <w:lang w:val="es-UY"/>
        </w:rPr>
        <w:t>onsultoría</w:t>
      </w:r>
      <w:r>
        <w:rPr>
          <w:rFonts w:asciiTheme="majorHAnsi" w:hAnsiTheme="majorHAnsi" w:cstheme="majorHAnsi"/>
          <w:lang w:val="es-UY"/>
        </w:rPr>
        <w:t xml:space="preserve"> se esper</w:t>
      </w:r>
      <w:r w:rsidR="0014439A">
        <w:rPr>
          <w:rFonts w:asciiTheme="majorHAnsi" w:hAnsiTheme="majorHAnsi" w:cstheme="majorHAnsi"/>
          <w:lang w:val="es-UY"/>
        </w:rPr>
        <w:t>a</w:t>
      </w:r>
      <w:r>
        <w:rPr>
          <w:rFonts w:asciiTheme="majorHAnsi" w:hAnsiTheme="majorHAnsi" w:cstheme="majorHAnsi"/>
          <w:lang w:val="es-UY"/>
        </w:rPr>
        <w:t xml:space="preserve"> contar con</w:t>
      </w:r>
      <w:r w:rsidR="00424D61" w:rsidRPr="00D441DB">
        <w:rPr>
          <w:rFonts w:asciiTheme="majorHAnsi" w:hAnsiTheme="majorHAnsi" w:cstheme="majorHAnsi"/>
          <w:lang w:val="es-UY"/>
        </w:rPr>
        <w:t>:</w:t>
      </w:r>
    </w:p>
    <w:p w:rsidR="00D441DB" w:rsidRDefault="00D441DB" w:rsidP="00424D61">
      <w:pPr>
        <w:pStyle w:val="Prrafodelista"/>
        <w:numPr>
          <w:ilvl w:val="0"/>
          <w:numId w:val="1"/>
        </w:numPr>
        <w:jc w:val="both"/>
        <w:rPr>
          <w:rFonts w:asciiTheme="majorHAnsi" w:hAnsiTheme="majorHAnsi" w:cstheme="majorHAnsi"/>
          <w:lang w:val="es-UY"/>
        </w:rPr>
      </w:pPr>
      <w:r>
        <w:rPr>
          <w:rFonts w:asciiTheme="majorHAnsi" w:hAnsiTheme="majorHAnsi" w:cstheme="majorHAnsi"/>
          <w:lang w:val="es-UY"/>
        </w:rPr>
        <w:t>Defini</w:t>
      </w:r>
      <w:r w:rsidR="009743CA">
        <w:rPr>
          <w:rFonts w:asciiTheme="majorHAnsi" w:hAnsiTheme="majorHAnsi" w:cstheme="majorHAnsi"/>
          <w:lang w:val="es-UY"/>
        </w:rPr>
        <w:t>ción de</w:t>
      </w:r>
      <w:r>
        <w:rPr>
          <w:rFonts w:asciiTheme="majorHAnsi" w:hAnsiTheme="majorHAnsi" w:cstheme="majorHAnsi"/>
          <w:lang w:val="es-UY"/>
        </w:rPr>
        <w:t xml:space="preserve"> indicadores de desempeño, líneas de base y gap con otros países en términos de valorización de la investigación.</w:t>
      </w:r>
    </w:p>
    <w:p w:rsidR="00AC6FF0" w:rsidRPr="00D441DB" w:rsidRDefault="00424D61" w:rsidP="00424D61">
      <w:pPr>
        <w:pStyle w:val="Prrafodelista"/>
        <w:numPr>
          <w:ilvl w:val="0"/>
          <w:numId w:val="1"/>
        </w:numPr>
        <w:jc w:val="both"/>
        <w:rPr>
          <w:rFonts w:asciiTheme="majorHAnsi" w:hAnsiTheme="majorHAnsi" w:cstheme="majorHAnsi"/>
          <w:lang w:val="es-UY"/>
        </w:rPr>
      </w:pPr>
      <w:r w:rsidRPr="00D441DB">
        <w:rPr>
          <w:rFonts w:asciiTheme="majorHAnsi" w:hAnsiTheme="majorHAnsi" w:cstheme="majorHAnsi"/>
          <w:lang w:val="es-UY"/>
        </w:rPr>
        <w:t>Identifica</w:t>
      </w:r>
      <w:r w:rsidR="009743CA">
        <w:rPr>
          <w:rFonts w:asciiTheme="majorHAnsi" w:hAnsiTheme="majorHAnsi" w:cstheme="majorHAnsi"/>
          <w:lang w:val="es-UY"/>
        </w:rPr>
        <w:t>ción de</w:t>
      </w:r>
      <w:r w:rsidRPr="00D441DB">
        <w:rPr>
          <w:rFonts w:asciiTheme="majorHAnsi" w:hAnsiTheme="majorHAnsi" w:cstheme="majorHAnsi"/>
          <w:lang w:val="es-UY"/>
        </w:rPr>
        <w:t xml:space="preserve"> obstáculos</w:t>
      </w:r>
      <w:r w:rsidR="00AC6FF0" w:rsidRPr="00D441DB">
        <w:rPr>
          <w:rFonts w:asciiTheme="majorHAnsi" w:hAnsiTheme="majorHAnsi" w:cstheme="majorHAnsi"/>
          <w:lang w:val="es-UY"/>
        </w:rPr>
        <w:t xml:space="preserve"> culturales, </w:t>
      </w:r>
      <w:r w:rsidR="007F69AC" w:rsidRPr="00D441DB">
        <w:rPr>
          <w:rFonts w:asciiTheme="majorHAnsi" w:hAnsiTheme="majorHAnsi" w:cstheme="majorHAnsi"/>
          <w:lang w:val="es-UY"/>
        </w:rPr>
        <w:t>legales y/o</w:t>
      </w:r>
      <w:r w:rsidR="00AC6FF0" w:rsidRPr="00D441DB">
        <w:rPr>
          <w:rFonts w:asciiTheme="majorHAnsi" w:hAnsiTheme="majorHAnsi" w:cstheme="majorHAnsi"/>
          <w:lang w:val="es-UY"/>
        </w:rPr>
        <w:t xml:space="preserve"> reglamentario</w:t>
      </w:r>
      <w:r w:rsidR="007F69AC" w:rsidRPr="00D441DB">
        <w:rPr>
          <w:rFonts w:asciiTheme="majorHAnsi" w:hAnsiTheme="majorHAnsi" w:cstheme="majorHAnsi"/>
          <w:lang w:val="es-UY"/>
        </w:rPr>
        <w:t>s</w:t>
      </w:r>
      <w:r w:rsidR="00AC6FF0" w:rsidRPr="00D441DB">
        <w:rPr>
          <w:rFonts w:asciiTheme="majorHAnsi" w:hAnsiTheme="majorHAnsi" w:cstheme="majorHAnsi"/>
          <w:lang w:val="es-UY"/>
        </w:rPr>
        <w:t>, falta de incentivos, u otro tipo</w:t>
      </w:r>
      <w:r w:rsidR="007F69AC" w:rsidRPr="00D441DB">
        <w:rPr>
          <w:rFonts w:asciiTheme="majorHAnsi" w:hAnsiTheme="majorHAnsi" w:cstheme="majorHAnsi"/>
          <w:lang w:val="es-UY"/>
        </w:rPr>
        <w:t xml:space="preserve">, que dificulten un </w:t>
      </w:r>
      <w:r w:rsidR="00D441DB">
        <w:rPr>
          <w:rFonts w:asciiTheme="majorHAnsi" w:hAnsiTheme="majorHAnsi" w:cstheme="majorHAnsi"/>
          <w:lang w:val="es-UY"/>
        </w:rPr>
        <w:t xml:space="preserve">mejor desempeño </w:t>
      </w:r>
      <w:r w:rsidR="007F69AC" w:rsidRPr="00D441DB">
        <w:rPr>
          <w:rFonts w:asciiTheme="majorHAnsi" w:hAnsiTheme="majorHAnsi" w:cstheme="majorHAnsi"/>
          <w:lang w:val="es-UY"/>
        </w:rPr>
        <w:t xml:space="preserve">en </w:t>
      </w:r>
      <w:r w:rsidR="00D441DB">
        <w:rPr>
          <w:rFonts w:asciiTheme="majorHAnsi" w:hAnsiTheme="majorHAnsi" w:cstheme="majorHAnsi"/>
          <w:lang w:val="es-UY"/>
        </w:rPr>
        <w:t xml:space="preserve">los </w:t>
      </w:r>
      <w:r w:rsidR="007F69AC" w:rsidRPr="00D441DB">
        <w:rPr>
          <w:rFonts w:asciiTheme="majorHAnsi" w:hAnsiTheme="majorHAnsi" w:cstheme="majorHAnsi"/>
          <w:lang w:val="es-UY"/>
        </w:rPr>
        <w:t xml:space="preserve">indicadores </w:t>
      </w:r>
      <w:r w:rsidR="00D441DB">
        <w:rPr>
          <w:rFonts w:asciiTheme="majorHAnsi" w:hAnsiTheme="majorHAnsi" w:cstheme="majorHAnsi"/>
          <w:lang w:val="es-UY"/>
        </w:rPr>
        <w:t>arriba definidos.</w:t>
      </w:r>
    </w:p>
    <w:p w:rsidR="004206DD" w:rsidRPr="00D441DB" w:rsidRDefault="004206DD" w:rsidP="00424D61">
      <w:pPr>
        <w:pStyle w:val="Prrafodelista"/>
        <w:numPr>
          <w:ilvl w:val="0"/>
          <w:numId w:val="1"/>
        </w:numPr>
        <w:jc w:val="both"/>
        <w:rPr>
          <w:rFonts w:asciiTheme="majorHAnsi" w:hAnsiTheme="majorHAnsi" w:cstheme="majorHAnsi"/>
          <w:lang w:val="es-UY"/>
        </w:rPr>
      </w:pPr>
      <w:r w:rsidRPr="00D441DB">
        <w:rPr>
          <w:rFonts w:asciiTheme="majorHAnsi" w:hAnsiTheme="majorHAnsi" w:cstheme="majorHAnsi"/>
          <w:lang w:val="es-UY"/>
        </w:rPr>
        <w:t>Recomenda</w:t>
      </w:r>
      <w:r w:rsidR="009743CA">
        <w:rPr>
          <w:rFonts w:asciiTheme="majorHAnsi" w:hAnsiTheme="majorHAnsi" w:cstheme="majorHAnsi"/>
          <w:lang w:val="es-UY"/>
        </w:rPr>
        <w:t>ciones de</w:t>
      </w:r>
      <w:r w:rsidRPr="00D441DB">
        <w:rPr>
          <w:rFonts w:asciiTheme="majorHAnsi" w:hAnsiTheme="majorHAnsi" w:cstheme="majorHAnsi"/>
          <w:lang w:val="es-UY"/>
        </w:rPr>
        <w:t xml:space="preserve"> </w:t>
      </w:r>
      <w:r w:rsidR="00157281" w:rsidRPr="00D441DB">
        <w:rPr>
          <w:rFonts w:asciiTheme="majorHAnsi" w:hAnsiTheme="majorHAnsi" w:cstheme="majorHAnsi"/>
          <w:lang w:val="es-UY"/>
        </w:rPr>
        <w:t xml:space="preserve">estrategia y </w:t>
      </w:r>
      <w:r w:rsidRPr="00D441DB">
        <w:rPr>
          <w:rFonts w:asciiTheme="majorHAnsi" w:hAnsiTheme="majorHAnsi" w:cstheme="majorHAnsi"/>
          <w:lang w:val="es-UY"/>
        </w:rPr>
        <w:t xml:space="preserve">acciones (políticas, normativa, instrumentos, otros) para </w:t>
      </w:r>
      <w:r w:rsidR="00157281" w:rsidRPr="00D441DB">
        <w:rPr>
          <w:rFonts w:asciiTheme="majorHAnsi" w:hAnsiTheme="majorHAnsi" w:cstheme="majorHAnsi"/>
          <w:lang w:val="es-UY"/>
        </w:rPr>
        <w:t xml:space="preserve">revertir la situación y contribuir a un mayor derrame </w:t>
      </w:r>
      <w:r w:rsidR="009743CA">
        <w:rPr>
          <w:rFonts w:asciiTheme="majorHAnsi" w:hAnsiTheme="majorHAnsi" w:cstheme="majorHAnsi"/>
          <w:lang w:val="es-UY"/>
        </w:rPr>
        <w:t xml:space="preserve">de la investigación académica </w:t>
      </w:r>
      <w:r w:rsidR="00157281" w:rsidRPr="00D441DB">
        <w:rPr>
          <w:rFonts w:asciiTheme="majorHAnsi" w:hAnsiTheme="majorHAnsi" w:cstheme="majorHAnsi"/>
          <w:lang w:val="es-UY"/>
        </w:rPr>
        <w:t>en la economía.</w:t>
      </w:r>
    </w:p>
    <w:p w:rsidR="00B57027" w:rsidRDefault="00B57027" w:rsidP="00157281">
      <w:pPr>
        <w:rPr>
          <w:rFonts w:asciiTheme="majorHAnsi" w:hAnsiTheme="majorHAnsi" w:cstheme="majorHAnsi"/>
          <w:b/>
          <w:lang w:val="es-UY"/>
        </w:rPr>
      </w:pPr>
      <w:bookmarkStart w:id="0" w:name="_GoBack"/>
      <w:bookmarkEnd w:id="0"/>
    </w:p>
    <w:p w:rsidR="004206DD" w:rsidRPr="00D441DB" w:rsidRDefault="00157281" w:rsidP="00157281">
      <w:pPr>
        <w:rPr>
          <w:rFonts w:asciiTheme="majorHAnsi" w:hAnsiTheme="majorHAnsi" w:cstheme="majorHAnsi"/>
          <w:b/>
          <w:lang w:val="es-UY"/>
        </w:rPr>
      </w:pPr>
      <w:r w:rsidRPr="00D441DB">
        <w:rPr>
          <w:rFonts w:asciiTheme="majorHAnsi" w:hAnsiTheme="majorHAnsi" w:cstheme="majorHAnsi"/>
          <w:b/>
          <w:lang w:val="es-UY"/>
        </w:rPr>
        <w:t>A</w:t>
      </w:r>
      <w:r w:rsidR="009743CA">
        <w:rPr>
          <w:rFonts w:asciiTheme="majorHAnsi" w:hAnsiTheme="majorHAnsi" w:cstheme="majorHAnsi"/>
          <w:b/>
          <w:lang w:val="es-UY"/>
        </w:rPr>
        <w:t>LCANCE, A</w:t>
      </w:r>
      <w:r w:rsidRPr="00D441DB">
        <w:rPr>
          <w:rFonts w:asciiTheme="majorHAnsi" w:hAnsiTheme="majorHAnsi" w:cstheme="majorHAnsi"/>
          <w:b/>
          <w:lang w:val="es-UY"/>
        </w:rPr>
        <w:t>CTIVIDADES</w:t>
      </w:r>
      <w:r w:rsidR="00D20E28" w:rsidRPr="00D441DB">
        <w:rPr>
          <w:rFonts w:asciiTheme="majorHAnsi" w:hAnsiTheme="majorHAnsi" w:cstheme="majorHAnsi"/>
          <w:b/>
          <w:lang w:val="es-UY"/>
        </w:rPr>
        <w:t xml:space="preserve"> y PRODUCTOS</w:t>
      </w:r>
    </w:p>
    <w:p w:rsidR="005268E3" w:rsidRPr="00D441DB" w:rsidRDefault="005268E3" w:rsidP="003B24F8">
      <w:pPr>
        <w:jc w:val="both"/>
        <w:rPr>
          <w:rFonts w:asciiTheme="majorHAnsi" w:hAnsiTheme="majorHAnsi" w:cstheme="majorHAnsi"/>
          <w:lang w:val="es-UY"/>
        </w:rPr>
      </w:pPr>
      <w:r w:rsidRPr="00D441DB">
        <w:rPr>
          <w:rFonts w:asciiTheme="majorHAnsi" w:hAnsiTheme="majorHAnsi" w:cstheme="majorHAnsi"/>
          <w:lang w:val="es-UY"/>
        </w:rPr>
        <w:t xml:space="preserve">Si bien las conclusiones y recomendaciones del trabajo </w:t>
      </w:r>
      <w:r w:rsidR="003B24F8" w:rsidRPr="00D441DB">
        <w:rPr>
          <w:rFonts w:asciiTheme="majorHAnsi" w:hAnsiTheme="majorHAnsi" w:cstheme="majorHAnsi"/>
          <w:lang w:val="es-UY"/>
        </w:rPr>
        <w:t>deberán</w:t>
      </w:r>
      <w:r w:rsidRPr="00D441DB">
        <w:rPr>
          <w:rFonts w:asciiTheme="majorHAnsi" w:hAnsiTheme="majorHAnsi" w:cstheme="majorHAnsi"/>
          <w:lang w:val="es-UY"/>
        </w:rPr>
        <w:t xml:space="preserve"> atender la totalidad del ecosistema, el diagnóstico deberá poner foco en el sistema</w:t>
      </w:r>
      <w:r w:rsidR="00DF094C">
        <w:rPr>
          <w:rFonts w:asciiTheme="majorHAnsi" w:hAnsiTheme="majorHAnsi" w:cstheme="majorHAnsi"/>
          <w:lang w:val="es-UY"/>
        </w:rPr>
        <w:t xml:space="preserve"> de oferta académica</w:t>
      </w:r>
      <w:r w:rsidRPr="00D441DB">
        <w:rPr>
          <w:rFonts w:asciiTheme="majorHAnsi" w:hAnsiTheme="majorHAnsi" w:cstheme="majorHAnsi"/>
          <w:lang w:val="es-UY"/>
        </w:rPr>
        <w:t xml:space="preserve"> público</w:t>
      </w:r>
      <w:r w:rsidR="00DF094C">
        <w:rPr>
          <w:rFonts w:asciiTheme="majorHAnsi" w:hAnsiTheme="majorHAnsi" w:cstheme="majorHAnsi"/>
          <w:lang w:val="es-UY"/>
        </w:rPr>
        <w:t>,</w:t>
      </w:r>
      <w:r w:rsidRPr="00D441DB">
        <w:rPr>
          <w:rFonts w:asciiTheme="majorHAnsi" w:hAnsiTheme="majorHAnsi" w:cstheme="majorHAnsi"/>
          <w:lang w:val="es-UY"/>
        </w:rPr>
        <w:t xml:space="preserve"> que concentra la gran mayoría de la actividad y recursos (UDELAR e Institutos – INIA, I</w:t>
      </w:r>
      <w:r w:rsidR="002234F6" w:rsidRPr="00D441DB">
        <w:rPr>
          <w:rFonts w:asciiTheme="majorHAnsi" w:hAnsiTheme="majorHAnsi" w:cstheme="majorHAnsi"/>
          <w:lang w:val="es-UY"/>
        </w:rPr>
        <w:t>IB</w:t>
      </w:r>
      <w:r w:rsidRPr="00D441DB">
        <w:rPr>
          <w:rFonts w:asciiTheme="majorHAnsi" w:hAnsiTheme="majorHAnsi" w:cstheme="majorHAnsi"/>
          <w:lang w:val="es-UY"/>
        </w:rPr>
        <w:t xml:space="preserve">CE, </w:t>
      </w:r>
      <w:r w:rsidR="007F401E" w:rsidRPr="00D441DB">
        <w:rPr>
          <w:rFonts w:asciiTheme="majorHAnsi" w:hAnsiTheme="majorHAnsi" w:cstheme="majorHAnsi"/>
          <w:lang w:val="es-UY"/>
        </w:rPr>
        <w:t>Instituto Pasteur de Montevideo</w:t>
      </w:r>
      <w:r w:rsidR="00302BC6">
        <w:rPr>
          <w:rFonts w:asciiTheme="majorHAnsi" w:hAnsiTheme="majorHAnsi" w:cstheme="majorHAnsi"/>
          <w:lang w:val="es-UY"/>
        </w:rPr>
        <w:t xml:space="preserve">, </w:t>
      </w:r>
      <w:r w:rsidR="0016099C">
        <w:rPr>
          <w:rFonts w:asciiTheme="majorHAnsi" w:hAnsiTheme="majorHAnsi" w:cstheme="majorHAnsi"/>
          <w:lang w:val="es-UY"/>
        </w:rPr>
        <w:t>Polo de Pando</w:t>
      </w:r>
      <w:r w:rsidR="00DF094C">
        <w:rPr>
          <w:rFonts w:asciiTheme="majorHAnsi" w:hAnsiTheme="majorHAnsi" w:cstheme="majorHAnsi"/>
          <w:lang w:val="es-UY"/>
        </w:rPr>
        <w:t xml:space="preserve">, </w:t>
      </w:r>
      <w:r w:rsidR="00302BC6">
        <w:rPr>
          <w:rFonts w:asciiTheme="majorHAnsi" w:hAnsiTheme="majorHAnsi" w:cstheme="majorHAnsi"/>
          <w:lang w:val="es-UY"/>
        </w:rPr>
        <w:t xml:space="preserve">Centros tecnológicos financiados por ANII, </w:t>
      </w:r>
      <w:r w:rsidR="00B427BD">
        <w:rPr>
          <w:rFonts w:asciiTheme="majorHAnsi" w:hAnsiTheme="majorHAnsi" w:cstheme="majorHAnsi"/>
          <w:lang w:val="es-UY"/>
        </w:rPr>
        <w:t xml:space="preserve">LATU, </w:t>
      </w:r>
      <w:proofErr w:type="spellStart"/>
      <w:r w:rsidRPr="00D441DB">
        <w:rPr>
          <w:rFonts w:asciiTheme="majorHAnsi" w:hAnsiTheme="majorHAnsi" w:cstheme="majorHAnsi"/>
          <w:lang w:val="es-UY"/>
        </w:rPr>
        <w:t>etc</w:t>
      </w:r>
      <w:proofErr w:type="spellEnd"/>
      <w:r w:rsidR="002E5CC7">
        <w:rPr>
          <w:rFonts w:asciiTheme="majorHAnsi" w:hAnsiTheme="majorHAnsi" w:cstheme="majorHAnsi"/>
          <w:lang w:val="es-UY"/>
        </w:rPr>
        <w:t>-</w:t>
      </w:r>
      <w:r w:rsidRPr="00D441DB">
        <w:rPr>
          <w:rFonts w:asciiTheme="majorHAnsi" w:hAnsiTheme="majorHAnsi" w:cstheme="majorHAnsi"/>
          <w:lang w:val="es-UY"/>
        </w:rPr>
        <w:t>.</w:t>
      </w:r>
      <w:r w:rsidR="003B24F8" w:rsidRPr="00D441DB">
        <w:rPr>
          <w:rFonts w:asciiTheme="majorHAnsi" w:hAnsiTheme="majorHAnsi" w:cstheme="majorHAnsi"/>
          <w:lang w:val="es-UY"/>
        </w:rPr>
        <w:t>)</w:t>
      </w:r>
    </w:p>
    <w:p w:rsidR="00157281" w:rsidRPr="00D441DB" w:rsidRDefault="00D20E28" w:rsidP="00D20E28">
      <w:pPr>
        <w:rPr>
          <w:rFonts w:asciiTheme="majorHAnsi" w:hAnsiTheme="majorHAnsi" w:cstheme="majorHAnsi"/>
          <w:lang w:val="es-UY"/>
        </w:rPr>
      </w:pPr>
      <w:r w:rsidRPr="00D441DB">
        <w:rPr>
          <w:rFonts w:asciiTheme="majorHAnsi" w:hAnsiTheme="majorHAnsi" w:cstheme="majorHAnsi"/>
          <w:lang w:val="es-UY"/>
        </w:rPr>
        <w:t>El consultor realizará las siguientes actividades</w:t>
      </w:r>
      <w:r w:rsidR="007F401E" w:rsidRPr="00D441DB">
        <w:rPr>
          <w:rFonts w:asciiTheme="majorHAnsi" w:hAnsiTheme="majorHAnsi" w:cstheme="majorHAnsi"/>
          <w:lang w:val="es-UY"/>
        </w:rPr>
        <w:t>:</w:t>
      </w:r>
    </w:p>
    <w:p w:rsidR="00157281" w:rsidRPr="00D441DB" w:rsidRDefault="00157281" w:rsidP="003B24F8">
      <w:pPr>
        <w:pStyle w:val="Encabezado"/>
        <w:numPr>
          <w:ilvl w:val="0"/>
          <w:numId w:val="7"/>
        </w:numPr>
        <w:jc w:val="both"/>
        <w:rPr>
          <w:rFonts w:ascii="Calibri Light" w:hAnsi="Calibri Light" w:cs="Calibri Light"/>
          <w:lang w:val="es-ES"/>
        </w:rPr>
      </w:pPr>
      <w:r w:rsidRPr="00D441DB">
        <w:rPr>
          <w:rFonts w:ascii="Calibri Light" w:hAnsi="Calibri Light" w:cs="Calibri Light"/>
          <w:sz w:val="22"/>
          <w:szCs w:val="22"/>
          <w:lang w:val="es-ES"/>
        </w:rPr>
        <w:t>Revisión de bibliografía vinculada</w:t>
      </w:r>
      <w:r w:rsidR="000E377A">
        <w:rPr>
          <w:rStyle w:val="Refdenotaalpie"/>
          <w:rFonts w:ascii="Calibri Light" w:hAnsi="Calibri Light" w:cs="Calibri Light"/>
          <w:sz w:val="22"/>
          <w:szCs w:val="22"/>
          <w:lang w:val="es-ES"/>
        </w:rPr>
        <w:footnoteReference w:id="1"/>
      </w:r>
    </w:p>
    <w:p w:rsidR="00157281" w:rsidRPr="00D441DB" w:rsidRDefault="00157281" w:rsidP="003B24F8">
      <w:pPr>
        <w:pStyle w:val="Encabezado"/>
        <w:numPr>
          <w:ilvl w:val="0"/>
          <w:numId w:val="7"/>
        </w:numPr>
        <w:jc w:val="both"/>
        <w:rPr>
          <w:rFonts w:ascii="Calibri Light" w:hAnsi="Calibri Light" w:cs="Calibri Light"/>
          <w:lang w:val="es-ES"/>
        </w:rPr>
      </w:pPr>
      <w:r w:rsidRPr="00D441DB">
        <w:rPr>
          <w:rFonts w:ascii="Calibri Light" w:hAnsi="Calibri Light" w:cs="Calibri Light"/>
          <w:sz w:val="22"/>
          <w:szCs w:val="22"/>
          <w:lang w:val="es-ES"/>
        </w:rPr>
        <w:t>Entrevistas a actores calificados</w:t>
      </w:r>
    </w:p>
    <w:p w:rsidR="00157281" w:rsidRPr="00D441DB" w:rsidRDefault="00157281" w:rsidP="003B24F8">
      <w:pPr>
        <w:pStyle w:val="Encabezado"/>
        <w:numPr>
          <w:ilvl w:val="0"/>
          <w:numId w:val="7"/>
        </w:numPr>
        <w:jc w:val="both"/>
        <w:rPr>
          <w:rFonts w:ascii="Calibri Light" w:hAnsi="Calibri Light" w:cs="Calibri Light"/>
          <w:lang w:val="es-ES"/>
        </w:rPr>
      </w:pPr>
      <w:r w:rsidRPr="00D441DB">
        <w:rPr>
          <w:rFonts w:ascii="Calibri Light" w:hAnsi="Calibri Light" w:cs="Calibri Light"/>
          <w:sz w:val="22"/>
          <w:szCs w:val="22"/>
          <w:lang w:val="es-ES"/>
        </w:rPr>
        <w:t>Benchmarking internacional</w:t>
      </w:r>
    </w:p>
    <w:p w:rsidR="00157281" w:rsidRPr="00D441DB" w:rsidRDefault="00157281" w:rsidP="003B24F8">
      <w:pPr>
        <w:pStyle w:val="Encabezado"/>
        <w:numPr>
          <w:ilvl w:val="0"/>
          <w:numId w:val="7"/>
        </w:numPr>
        <w:jc w:val="both"/>
        <w:rPr>
          <w:rFonts w:ascii="Calibri Light" w:hAnsi="Calibri Light" w:cs="Calibri Light"/>
          <w:lang w:val="es-ES"/>
        </w:rPr>
      </w:pPr>
      <w:r w:rsidRPr="00D441DB">
        <w:rPr>
          <w:rFonts w:ascii="Calibri Light" w:hAnsi="Calibri Light" w:cs="Calibri Light"/>
          <w:sz w:val="22"/>
          <w:szCs w:val="22"/>
          <w:lang w:val="es-ES"/>
        </w:rPr>
        <w:t>Taller de validación</w:t>
      </w:r>
    </w:p>
    <w:p w:rsidR="00D20E28" w:rsidRPr="00D441DB" w:rsidRDefault="00D20E28" w:rsidP="00D20E28">
      <w:pPr>
        <w:pStyle w:val="Encabezado"/>
        <w:tabs>
          <w:tab w:val="clear" w:pos="4320"/>
          <w:tab w:val="clear" w:pos="8640"/>
        </w:tabs>
        <w:ind w:left="360"/>
        <w:jc w:val="both"/>
        <w:rPr>
          <w:rFonts w:asciiTheme="minorHAnsi" w:hAnsiTheme="minorHAnsi"/>
          <w:b/>
          <w:lang w:val="es-MX"/>
        </w:rPr>
      </w:pPr>
    </w:p>
    <w:p w:rsidR="00D20E28" w:rsidRPr="00D441DB" w:rsidRDefault="00D20E28" w:rsidP="00D20E28">
      <w:pPr>
        <w:pStyle w:val="Encabezado"/>
        <w:jc w:val="both"/>
        <w:rPr>
          <w:rFonts w:ascii="Calibri Light" w:hAnsi="Calibri Light" w:cs="Calibri Light"/>
          <w:sz w:val="22"/>
          <w:szCs w:val="22"/>
          <w:lang w:val="es-ES"/>
        </w:rPr>
      </w:pPr>
      <w:r w:rsidRPr="00D441DB">
        <w:rPr>
          <w:rFonts w:ascii="Calibri Light" w:hAnsi="Calibri Light" w:cs="Calibri Light"/>
          <w:sz w:val="22"/>
          <w:szCs w:val="22"/>
          <w:lang w:val="es-ES"/>
        </w:rPr>
        <w:t>Se deberán entregar los siguientes productos:</w:t>
      </w:r>
    </w:p>
    <w:p w:rsidR="00D20E28" w:rsidRPr="00D441DB" w:rsidRDefault="00D20E28" w:rsidP="00D441DB">
      <w:pPr>
        <w:pStyle w:val="Encabezado"/>
        <w:numPr>
          <w:ilvl w:val="1"/>
          <w:numId w:val="6"/>
        </w:numPr>
        <w:spacing w:before="240"/>
        <w:ind w:left="567" w:hanging="567"/>
        <w:jc w:val="both"/>
        <w:rPr>
          <w:rFonts w:ascii="Calibri Light" w:hAnsi="Calibri Light" w:cs="Calibri Light"/>
          <w:sz w:val="22"/>
          <w:szCs w:val="22"/>
          <w:lang w:val="es-ES"/>
        </w:rPr>
      </w:pPr>
      <w:r w:rsidRPr="00D441DB">
        <w:rPr>
          <w:rFonts w:ascii="Calibri Light" w:hAnsi="Calibri Light" w:cs="Calibri Light"/>
          <w:sz w:val="22"/>
          <w:szCs w:val="22"/>
          <w:lang w:val="es-ES"/>
        </w:rPr>
        <w:t>Plan de trabajo estableciendo metodología, propuesta de actores a entrevistar y ejemplos para el benchmarking internacional. A los 15 días después de la firma del contrato</w:t>
      </w:r>
      <w:r w:rsidR="007F401E" w:rsidRPr="00D441DB">
        <w:rPr>
          <w:rFonts w:ascii="Calibri Light" w:hAnsi="Calibri Light" w:cs="Calibri Light"/>
          <w:sz w:val="22"/>
          <w:szCs w:val="22"/>
          <w:lang w:val="es-ES"/>
        </w:rPr>
        <w:t>.</w:t>
      </w:r>
    </w:p>
    <w:p w:rsidR="000E0978" w:rsidRPr="00D441DB" w:rsidRDefault="00D20E28" w:rsidP="00D441DB">
      <w:pPr>
        <w:pStyle w:val="Encabezado"/>
        <w:numPr>
          <w:ilvl w:val="1"/>
          <w:numId w:val="6"/>
        </w:numPr>
        <w:spacing w:before="240"/>
        <w:ind w:left="567" w:hanging="567"/>
        <w:jc w:val="both"/>
        <w:rPr>
          <w:rFonts w:ascii="Calibri Light" w:hAnsi="Calibri Light" w:cs="Calibri Light"/>
          <w:sz w:val="22"/>
          <w:szCs w:val="22"/>
          <w:lang w:val="es-ES"/>
        </w:rPr>
      </w:pPr>
      <w:r w:rsidRPr="00D441DB">
        <w:rPr>
          <w:rFonts w:ascii="Calibri Light" w:hAnsi="Calibri Light" w:cs="Calibri Light"/>
          <w:sz w:val="22"/>
          <w:szCs w:val="22"/>
          <w:lang w:val="es-ES"/>
        </w:rPr>
        <w:t>Informe de diagnóstico a la luz del benchmarking internacional (incluido), lineamientos estratégicos del Plan y propuesta de taller de validación con actores clave.</w:t>
      </w:r>
      <w:r w:rsidR="000E0978" w:rsidRPr="00D441DB">
        <w:rPr>
          <w:rFonts w:ascii="Calibri Light" w:hAnsi="Calibri Light" w:cs="Calibri Light"/>
          <w:sz w:val="22"/>
          <w:szCs w:val="22"/>
          <w:lang w:val="es-ES"/>
        </w:rPr>
        <w:t xml:space="preserve"> A los 90 días después de la firma del contrato.</w:t>
      </w:r>
    </w:p>
    <w:p w:rsidR="00D20E28" w:rsidRPr="00D441DB" w:rsidRDefault="00D20E28" w:rsidP="00D441DB">
      <w:pPr>
        <w:pStyle w:val="Encabezado"/>
        <w:numPr>
          <w:ilvl w:val="1"/>
          <w:numId w:val="6"/>
        </w:numPr>
        <w:spacing w:before="240"/>
        <w:ind w:left="567" w:hanging="567"/>
        <w:jc w:val="both"/>
        <w:rPr>
          <w:rFonts w:ascii="Calibri Light" w:hAnsi="Calibri Light" w:cs="Calibri Light"/>
          <w:sz w:val="22"/>
          <w:szCs w:val="22"/>
          <w:lang w:val="es-ES"/>
        </w:rPr>
      </w:pPr>
      <w:r w:rsidRPr="00D441DB">
        <w:rPr>
          <w:rFonts w:ascii="Calibri Light" w:hAnsi="Calibri Light" w:cs="Calibri Light"/>
          <w:sz w:val="22"/>
          <w:szCs w:val="22"/>
          <w:lang w:val="es-ES"/>
        </w:rPr>
        <w:t xml:space="preserve">Plan de </w:t>
      </w:r>
      <w:r w:rsidR="000E0978" w:rsidRPr="00D441DB">
        <w:rPr>
          <w:rFonts w:ascii="Calibri Light" w:hAnsi="Calibri Light" w:cs="Calibri Light"/>
          <w:sz w:val="22"/>
          <w:szCs w:val="22"/>
          <w:lang w:val="es-ES"/>
        </w:rPr>
        <w:t xml:space="preserve">Acción </w:t>
      </w:r>
      <w:r w:rsidR="00382BF3">
        <w:rPr>
          <w:rFonts w:ascii="Calibri Light" w:hAnsi="Calibri Light" w:cs="Calibri Light"/>
          <w:sz w:val="22"/>
          <w:szCs w:val="22"/>
          <w:lang w:val="es-ES"/>
        </w:rPr>
        <w:t xml:space="preserve">con </w:t>
      </w:r>
      <w:r w:rsidR="00382BF3" w:rsidRPr="00382BF3">
        <w:rPr>
          <w:rFonts w:ascii="Calibri Light" w:hAnsi="Calibri Light" w:cs="Calibri Light"/>
          <w:sz w:val="22"/>
          <w:szCs w:val="22"/>
          <w:lang w:val="es-ES"/>
        </w:rPr>
        <w:t>recomendaciones de políticas</w:t>
      </w:r>
      <w:r w:rsidR="00382BF3">
        <w:rPr>
          <w:rFonts w:ascii="Calibri Light" w:hAnsi="Calibri Light" w:cs="Calibri Light"/>
          <w:sz w:val="22"/>
          <w:szCs w:val="22"/>
          <w:lang w:val="es-ES"/>
        </w:rPr>
        <w:t xml:space="preserve">, </w:t>
      </w:r>
      <w:r w:rsidR="00382BF3" w:rsidRPr="00382BF3">
        <w:rPr>
          <w:rFonts w:ascii="Calibri Light" w:hAnsi="Calibri Light" w:cs="Calibri Light"/>
          <w:sz w:val="22"/>
          <w:szCs w:val="22"/>
          <w:lang w:val="es-ES"/>
        </w:rPr>
        <w:t>normativa, instrumentos, otros)</w:t>
      </w:r>
      <w:r w:rsidR="00382BF3">
        <w:rPr>
          <w:rFonts w:ascii="Calibri Light" w:hAnsi="Calibri Light" w:cs="Calibri Light"/>
          <w:sz w:val="22"/>
          <w:szCs w:val="22"/>
          <w:lang w:val="es-ES"/>
        </w:rPr>
        <w:t>,</w:t>
      </w:r>
      <w:r w:rsidR="00382BF3" w:rsidRPr="00382BF3">
        <w:rPr>
          <w:rFonts w:ascii="Calibri Light" w:hAnsi="Calibri Light" w:cs="Calibri Light"/>
          <w:sz w:val="22"/>
          <w:szCs w:val="22"/>
          <w:lang w:val="es-ES"/>
        </w:rPr>
        <w:t xml:space="preserve"> </w:t>
      </w:r>
      <w:r w:rsidR="000E0978" w:rsidRPr="00D441DB">
        <w:rPr>
          <w:rFonts w:ascii="Calibri Light" w:hAnsi="Calibri Light" w:cs="Calibri Light"/>
          <w:sz w:val="22"/>
          <w:szCs w:val="22"/>
          <w:lang w:val="es-ES"/>
        </w:rPr>
        <w:t xml:space="preserve">validado con actores clave. </w:t>
      </w:r>
      <w:r w:rsidRPr="00D441DB">
        <w:rPr>
          <w:rFonts w:ascii="Calibri Light" w:hAnsi="Calibri Light" w:cs="Calibri Light"/>
          <w:sz w:val="22"/>
          <w:szCs w:val="22"/>
          <w:lang w:val="es-ES"/>
        </w:rPr>
        <w:t>A los 120 días después de la firma del contrato.</w:t>
      </w:r>
    </w:p>
    <w:p w:rsidR="00D20E28" w:rsidRPr="00D441DB" w:rsidRDefault="00D20E28" w:rsidP="00D20E28">
      <w:pPr>
        <w:pStyle w:val="Encabezado"/>
        <w:ind w:left="1080"/>
        <w:jc w:val="both"/>
        <w:rPr>
          <w:rFonts w:ascii="Calibri Light" w:hAnsi="Calibri Light" w:cs="Calibri Light"/>
          <w:sz w:val="22"/>
          <w:szCs w:val="22"/>
          <w:lang w:val="es-ES"/>
        </w:rPr>
      </w:pPr>
    </w:p>
    <w:p w:rsidR="00D20E28" w:rsidRPr="00D441DB" w:rsidRDefault="00D20E28" w:rsidP="00BE705C">
      <w:pPr>
        <w:pStyle w:val="Encabezado"/>
        <w:tabs>
          <w:tab w:val="clear" w:pos="4320"/>
          <w:tab w:val="clear" w:pos="8640"/>
        </w:tabs>
        <w:jc w:val="both"/>
        <w:rPr>
          <w:lang w:val="es-UY"/>
        </w:rPr>
      </w:pPr>
      <w:r w:rsidRPr="00D441DB">
        <w:rPr>
          <w:rFonts w:ascii="Calibri Light" w:hAnsi="Calibri Light" w:cs="Calibri Light"/>
          <w:sz w:val="22"/>
          <w:szCs w:val="22"/>
          <w:lang w:val="es-ES"/>
        </w:rPr>
        <w:lastRenderedPageBreak/>
        <w:t>Los informes deberán presentarse en formato impreso</w:t>
      </w:r>
      <w:r w:rsidR="007F401E" w:rsidRPr="00D441DB">
        <w:rPr>
          <w:rFonts w:ascii="Calibri Light" w:hAnsi="Calibri Light" w:cs="Calibri Light"/>
          <w:sz w:val="22"/>
          <w:szCs w:val="22"/>
          <w:lang w:val="es-ES"/>
        </w:rPr>
        <w:t>,</w:t>
      </w:r>
      <w:r w:rsidRPr="00D441DB">
        <w:rPr>
          <w:rFonts w:ascii="Calibri Light" w:hAnsi="Calibri Light" w:cs="Calibri Light"/>
          <w:sz w:val="22"/>
          <w:szCs w:val="22"/>
          <w:lang w:val="es-ES"/>
        </w:rPr>
        <w:t xml:space="preserve"> firmados y una copia electrónica en formato compatible con Word, PDF o Excel.</w:t>
      </w:r>
      <w:r w:rsidRPr="00D441DB">
        <w:rPr>
          <w:rFonts w:ascii="Calibri Light" w:hAnsi="Calibri Light" w:cs="Calibri Light"/>
          <w:sz w:val="22"/>
          <w:szCs w:val="22"/>
          <w:lang w:val="es-ES"/>
        </w:rPr>
        <w:cr/>
      </w:r>
    </w:p>
    <w:p w:rsidR="00157281" w:rsidRPr="00D441DB" w:rsidRDefault="00157281" w:rsidP="000E0978">
      <w:pPr>
        <w:rPr>
          <w:rFonts w:asciiTheme="majorHAnsi" w:hAnsiTheme="majorHAnsi" w:cstheme="majorHAnsi"/>
          <w:b/>
          <w:lang w:val="es-UY"/>
        </w:rPr>
      </w:pPr>
      <w:r w:rsidRPr="00D441DB">
        <w:rPr>
          <w:rFonts w:asciiTheme="majorHAnsi" w:hAnsiTheme="majorHAnsi" w:cstheme="majorHAnsi"/>
          <w:b/>
          <w:lang w:val="es-UY"/>
        </w:rPr>
        <w:t>CARACTERISTICAS DE LA CONSULTORIA</w:t>
      </w:r>
    </w:p>
    <w:p w:rsidR="00157281" w:rsidRPr="00D441DB" w:rsidRDefault="00157281" w:rsidP="00157281">
      <w:pPr>
        <w:pStyle w:val="Prrafodelista"/>
        <w:numPr>
          <w:ilvl w:val="0"/>
          <w:numId w:val="3"/>
        </w:numPr>
        <w:spacing w:after="0" w:line="240" w:lineRule="auto"/>
        <w:contextualSpacing w:val="0"/>
        <w:jc w:val="both"/>
        <w:rPr>
          <w:b/>
          <w:sz w:val="20"/>
          <w:lang w:val="es-ES_tradnl" w:eastAsia="es-ES_tradnl"/>
        </w:rPr>
      </w:pPr>
      <w:r w:rsidRPr="00D441DB">
        <w:rPr>
          <w:b/>
          <w:sz w:val="20"/>
          <w:lang w:val="es-ES_tradnl" w:eastAsia="es-ES_tradnl"/>
        </w:rPr>
        <w:t>Tipo de Contratación</w:t>
      </w:r>
    </w:p>
    <w:p w:rsidR="00157281" w:rsidRPr="00D441DB" w:rsidRDefault="00157281" w:rsidP="00157281">
      <w:pPr>
        <w:pStyle w:val="Encabezado"/>
        <w:jc w:val="both"/>
        <w:rPr>
          <w:rFonts w:ascii="Calibri Light" w:hAnsi="Calibri Light" w:cs="Calibri Light"/>
          <w:sz w:val="22"/>
          <w:szCs w:val="22"/>
          <w:lang w:val="es-ES"/>
        </w:rPr>
      </w:pPr>
      <w:r w:rsidRPr="00D441DB">
        <w:rPr>
          <w:rFonts w:ascii="Calibri Light" w:hAnsi="Calibri Light" w:cs="Calibri Light"/>
          <w:sz w:val="22"/>
          <w:szCs w:val="22"/>
          <w:lang w:val="es-ES"/>
        </w:rPr>
        <w:t>La contratación del Consultor se hará mediante un contrato de Servicios de Consultoría por suma global con entrega de productos (Arrendamiento de Obra).</w:t>
      </w:r>
    </w:p>
    <w:p w:rsidR="00157281" w:rsidRPr="00D441DB" w:rsidRDefault="00157281" w:rsidP="00157281">
      <w:pPr>
        <w:jc w:val="both"/>
        <w:rPr>
          <w:sz w:val="20"/>
          <w:lang w:val="es-ES_tradnl"/>
        </w:rPr>
      </w:pPr>
    </w:p>
    <w:p w:rsidR="00157281" w:rsidRPr="00D441DB" w:rsidRDefault="00157281" w:rsidP="00157281">
      <w:pPr>
        <w:pStyle w:val="Prrafodelista"/>
        <w:numPr>
          <w:ilvl w:val="0"/>
          <w:numId w:val="3"/>
        </w:numPr>
        <w:spacing w:after="0" w:line="240" w:lineRule="auto"/>
        <w:contextualSpacing w:val="0"/>
        <w:jc w:val="both"/>
        <w:rPr>
          <w:b/>
          <w:sz w:val="20"/>
          <w:lang w:val="es-ES_tradnl" w:eastAsia="es-ES_tradnl"/>
        </w:rPr>
      </w:pPr>
      <w:r w:rsidRPr="00D441DB">
        <w:rPr>
          <w:b/>
          <w:sz w:val="20"/>
          <w:lang w:val="es-ES_tradnl" w:eastAsia="es-ES_tradnl"/>
        </w:rPr>
        <w:t>Plazo de contratación</w:t>
      </w:r>
    </w:p>
    <w:p w:rsidR="00157281" w:rsidRPr="00D441DB" w:rsidRDefault="00157281" w:rsidP="00157281">
      <w:pPr>
        <w:pStyle w:val="Encabezado"/>
        <w:jc w:val="both"/>
        <w:rPr>
          <w:rFonts w:ascii="Calibri Light" w:hAnsi="Calibri Light" w:cs="Calibri Light"/>
          <w:sz w:val="22"/>
          <w:szCs w:val="22"/>
          <w:lang w:val="es-ES"/>
        </w:rPr>
      </w:pPr>
      <w:r w:rsidRPr="00D441DB">
        <w:rPr>
          <w:rFonts w:ascii="Calibri Light" w:hAnsi="Calibri Light" w:cs="Calibri Light"/>
          <w:sz w:val="22"/>
          <w:szCs w:val="22"/>
          <w:lang w:val="es-ES"/>
        </w:rPr>
        <w:t xml:space="preserve">La duración del contrato será de </w:t>
      </w:r>
      <w:r w:rsidR="00D20E28" w:rsidRPr="00D441DB">
        <w:rPr>
          <w:rFonts w:ascii="Calibri Light" w:hAnsi="Calibri Light" w:cs="Calibri Light"/>
          <w:sz w:val="22"/>
          <w:szCs w:val="22"/>
          <w:lang w:val="es-ES"/>
        </w:rPr>
        <w:t>4</w:t>
      </w:r>
      <w:r w:rsidRPr="00D441DB">
        <w:rPr>
          <w:rFonts w:ascii="Calibri Light" w:hAnsi="Calibri Light" w:cs="Calibri Light"/>
          <w:sz w:val="22"/>
          <w:szCs w:val="22"/>
          <w:lang w:val="es-ES"/>
        </w:rPr>
        <w:t xml:space="preserve"> meses contados a partir de su suscripción o hasta la culminación de la tarea objeto de la presente consultoría.</w:t>
      </w:r>
    </w:p>
    <w:p w:rsidR="00157281" w:rsidRPr="00D441DB" w:rsidRDefault="00157281" w:rsidP="00157281">
      <w:pPr>
        <w:jc w:val="both"/>
        <w:rPr>
          <w:sz w:val="20"/>
          <w:lang w:val="es-ES_tradnl"/>
        </w:rPr>
      </w:pPr>
    </w:p>
    <w:p w:rsidR="00157281" w:rsidRPr="00D441DB" w:rsidRDefault="00157281" w:rsidP="00B57027">
      <w:pPr>
        <w:pStyle w:val="Prrafodelista"/>
        <w:keepNext/>
        <w:numPr>
          <w:ilvl w:val="0"/>
          <w:numId w:val="3"/>
        </w:numPr>
        <w:spacing w:after="0" w:line="240" w:lineRule="auto"/>
        <w:contextualSpacing w:val="0"/>
        <w:jc w:val="both"/>
        <w:rPr>
          <w:b/>
          <w:sz w:val="20"/>
          <w:lang w:val="es-ES_tradnl" w:eastAsia="es-ES_tradnl"/>
        </w:rPr>
      </w:pPr>
      <w:r w:rsidRPr="00D441DB">
        <w:rPr>
          <w:b/>
          <w:sz w:val="20"/>
          <w:lang w:val="es-ES_tradnl" w:eastAsia="es-ES_tradnl"/>
        </w:rPr>
        <w:t>Lugar de trabajo</w:t>
      </w:r>
    </w:p>
    <w:p w:rsidR="00157281" w:rsidRPr="00D441DB" w:rsidRDefault="00157281" w:rsidP="00B57027">
      <w:pPr>
        <w:pStyle w:val="Encabezado"/>
        <w:keepNext/>
        <w:jc w:val="both"/>
        <w:rPr>
          <w:rFonts w:ascii="Calibri Light" w:hAnsi="Calibri Light" w:cs="Calibri Light"/>
          <w:sz w:val="22"/>
          <w:szCs w:val="22"/>
          <w:lang w:val="es-ES"/>
        </w:rPr>
      </w:pPr>
      <w:r w:rsidRPr="00D441DB">
        <w:rPr>
          <w:rFonts w:ascii="Calibri Light" w:hAnsi="Calibri Light" w:cs="Calibri Light"/>
          <w:sz w:val="22"/>
          <w:szCs w:val="22"/>
          <w:lang w:val="es-ES"/>
        </w:rPr>
        <w:t xml:space="preserve">El Consultor desempeñará sus funciones en forma remota </w:t>
      </w:r>
      <w:r w:rsidR="00B97CE7">
        <w:rPr>
          <w:rFonts w:ascii="Calibri Light" w:hAnsi="Calibri Light" w:cs="Calibri Light"/>
          <w:sz w:val="22"/>
          <w:szCs w:val="22"/>
          <w:lang w:val="es-ES"/>
        </w:rPr>
        <w:t xml:space="preserve">desde el terreno, </w:t>
      </w:r>
      <w:r w:rsidRPr="00D441DB">
        <w:rPr>
          <w:rFonts w:ascii="Calibri Light" w:hAnsi="Calibri Light" w:cs="Calibri Light"/>
          <w:sz w:val="22"/>
          <w:szCs w:val="22"/>
          <w:lang w:val="es-ES"/>
        </w:rPr>
        <w:t>coordinando las reuniones que sean necesarias en las oficinas de Uruguay XXI.</w:t>
      </w:r>
    </w:p>
    <w:p w:rsidR="00157281" w:rsidRPr="00D441DB" w:rsidRDefault="00157281" w:rsidP="00157281">
      <w:pPr>
        <w:pStyle w:val="Encabezado"/>
        <w:jc w:val="both"/>
        <w:rPr>
          <w:rFonts w:ascii="Calibri Light" w:hAnsi="Calibri Light" w:cs="Calibri Light"/>
          <w:sz w:val="22"/>
          <w:szCs w:val="22"/>
          <w:lang w:val="es-ES"/>
        </w:rPr>
      </w:pPr>
    </w:p>
    <w:p w:rsidR="00157281" w:rsidRPr="00D441DB" w:rsidRDefault="00157281" w:rsidP="00157281">
      <w:pPr>
        <w:pStyle w:val="Prrafodelista"/>
        <w:numPr>
          <w:ilvl w:val="0"/>
          <w:numId w:val="3"/>
        </w:numPr>
        <w:spacing w:after="0" w:line="240" w:lineRule="auto"/>
        <w:contextualSpacing w:val="0"/>
        <w:jc w:val="both"/>
        <w:rPr>
          <w:b/>
          <w:sz w:val="20"/>
          <w:lang w:val="es-ES_tradnl" w:eastAsia="es-ES_tradnl"/>
        </w:rPr>
      </w:pPr>
      <w:r w:rsidRPr="00D441DB">
        <w:rPr>
          <w:b/>
          <w:sz w:val="20"/>
          <w:lang w:val="es-ES_tradnl" w:eastAsia="es-ES_tradnl"/>
        </w:rPr>
        <w:t>Dependencia funcional</w:t>
      </w:r>
    </w:p>
    <w:p w:rsidR="00157281" w:rsidRPr="00D441DB" w:rsidRDefault="00157281" w:rsidP="00157281">
      <w:pPr>
        <w:pStyle w:val="Encabezado"/>
        <w:jc w:val="both"/>
        <w:rPr>
          <w:rFonts w:ascii="Calibri Light" w:hAnsi="Calibri Light" w:cs="Calibri Light"/>
          <w:sz w:val="22"/>
          <w:szCs w:val="22"/>
          <w:lang w:val="es-ES"/>
        </w:rPr>
      </w:pPr>
      <w:bookmarkStart w:id="1" w:name="_Hlk19023791"/>
      <w:r w:rsidRPr="00D441DB">
        <w:rPr>
          <w:rFonts w:ascii="Calibri Light" w:hAnsi="Calibri Light" w:cs="Calibri Light"/>
          <w:sz w:val="22"/>
          <w:szCs w:val="22"/>
          <w:lang w:val="es-ES"/>
        </w:rPr>
        <w:t xml:space="preserve">El consultor reportará </w:t>
      </w:r>
      <w:r w:rsidR="008E56B7">
        <w:rPr>
          <w:rFonts w:ascii="Calibri Light" w:hAnsi="Calibri Light" w:cs="Calibri Light"/>
          <w:sz w:val="22"/>
          <w:szCs w:val="22"/>
          <w:lang w:val="es-ES"/>
        </w:rPr>
        <w:t>a</w:t>
      </w:r>
      <w:r w:rsidRPr="00D441DB">
        <w:rPr>
          <w:rFonts w:ascii="Calibri Light" w:hAnsi="Calibri Light" w:cs="Calibri Light"/>
          <w:sz w:val="22"/>
          <w:szCs w:val="22"/>
          <w:lang w:val="es-ES"/>
        </w:rPr>
        <w:t xml:space="preserve"> la Gerencia de </w:t>
      </w:r>
      <w:r w:rsidR="00B97CE7">
        <w:rPr>
          <w:rFonts w:ascii="Calibri Light" w:hAnsi="Calibri Light" w:cs="Calibri Light"/>
          <w:sz w:val="22"/>
          <w:szCs w:val="22"/>
          <w:lang w:val="es-ES"/>
        </w:rPr>
        <w:t>Post</w:t>
      </w:r>
      <w:r w:rsidR="0016099C">
        <w:rPr>
          <w:rFonts w:ascii="Calibri Light" w:hAnsi="Calibri Light" w:cs="Calibri Light"/>
          <w:sz w:val="22"/>
          <w:szCs w:val="22"/>
          <w:lang w:val="es-ES"/>
        </w:rPr>
        <w:t>-</w:t>
      </w:r>
      <w:r w:rsidR="00B97CE7">
        <w:rPr>
          <w:rFonts w:ascii="Calibri Light" w:hAnsi="Calibri Light" w:cs="Calibri Light"/>
          <w:sz w:val="22"/>
          <w:szCs w:val="22"/>
          <w:lang w:val="es-ES"/>
        </w:rPr>
        <w:t>inversión</w:t>
      </w:r>
      <w:r w:rsidRPr="00D441DB">
        <w:rPr>
          <w:rFonts w:ascii="Calibri Light" w:hAnsi="Calibri Light" w:cs="Calibri Light"/>
          <w:sz w:val="22"/>
          <w:szCs w:val="22"/>
          <w:lang w:val="es-ES"/>
        </w:rPr>
        <w:t xml:space="preserve"> de UXXI</w:t>
      </w:r>
      <w:r w:rsidR="00B97CE7">
        <w:rPr>
          <w:rFonts w:ascii="Calibri Light" w:hAnsi="Calibri Light" w:cs="Calibri Light"/>
          <w:sz w:val="22"/>
          <w:szCs w:val="22"/>
          <w:lang w:val="es-ES"/>
        </w:rPr>
        <w:t xml:space="preserve">, quien supervisará el trabajo </w:t>
      </w:r>
      <w:r w:rsidR="00340CB3">
        <w:rPr>
          <w:rFonts w:ascii="Calibri Light" w:hAnsi="Calibri Light" w:cs="Calibri Light"/>
          <w:sz w:val="22"/>
          <w:szCs w:val="22"/>
          <w:lang w:val="es-ES"/>
        </w:rPr>
        <w:t xml:space="preserve">junto </w:t>
      </w:r>
      <w:r w:rsidR="008E56B7">
        <w:rPr>
          <w:rFonts w:ascii="Calibri Light" w:hAnsi="Calibri Light" w:cs="Calibri Light"/>
          <w:sz w:val="22"/>
          <w:szCs w:val="22"/>
          <w:lang w:val="es-ES"/>
        </w:rPr>
        <w:t xml:space="preserve">a </w:t>
      </w:r>
      <w:r w:rsidR="000E01BA">
        <w:rPr>
          <w:rFonts w:ascii="Calibri Light" w:hAnsi="Calibri Light" w:cs="Calibri Light"/>
          <w:sz w:val="22"/>
          <w:szCs w:val="22"/>
          <w:lang w:val="es-ES"/>
        </w:rPr>
        <w:t xml:space="preserve">un </w:t>
      </w:r>
      <w:r w:rsidR="008E56B7">
        <w:rPr>
          <w:rFonts w:ascii="Calibri Light" w:hAnsi="Calibri Light" w:cs="Calibri Light"/>
          <w:sz w:val="22"/>
          <w:szCs w:val="22"/>
          <w:lang w:val="es-ES"/>
        </w:rPr>
        <w:t>Comité de Seguimiento</w:t>
      </w:r>
      <w:r w:rsidR="000E01BA">
        <w:rPr>
          <w:rFonts w:ascii="Calibri Light" w:hAnsi="Calibri Light" w:cs="Calibri Light"/>
          <w:sz w:val="22"/>
          <w:szCs w:val="22"/>
          <w:lang w:val="es-ES"/>
        </w:rPr>
        <w:t xml:space="preserve"> interinstitucional</w:t>
      </w:r>
      <w:r w:rsidR="00DF094C">
        <w:rPr>
          <w:rFonts w:ascii="Calibri Light" w:hAnsi="Calibri Light" w:cs="Calibri Light"/>
          <w:sz w:val="22"/>
          <w:szCs w:val="22"/>
          <w:lang w:val="es-ES"/>
        </w:rPr>
        <w:t xml:space="preserve"> integrado por la Secretaría Nacional de Ciencia y Tecnología (</w:t>
      </w:r>
      <w:proofErr w:type="spellStart"/>
      <w:r w:rsidR="00DF094C">
        <w:rPr>
          <w:rFonts w:ascii="Calibri Light" w:hAnsi="Calibri Light" w:cs="Calibri Light"/>
          <w:sz w:val="22"/>
          <w:szCs w:val="22"/>
          <w:lang w:val="es-ES"/>
        </w:rPr>
        <w:t>SNCyT</w:t>
      </w:r>
      <w:proofErr w:type="spellEnd"/>
      <w:r w:rsidR="00DF094C">
        <w:rPr>
          <w:rFonts w:ascii="Calibri Light" w:hAnsi="Calibri Light" w:cs="Calibri Light"/>
          <w:sz w:val="22"/>
          <w:szCs w:val="22"/>
          <w:lang w:val="es-ES"/>
        </w:rPr>
        <w:t>), el Programa de Desarrollo de las Ciencias Básicas (PEDECIBA), la Agencia Nacional de Investigación e Innovación (ANIII) y el Instituto Uruguay XXXI (UXXI).</w:t>
      </w:r>
    </w:p>
    <w:bookmarkEnd w:id="1"/>
    <w:p w:rsidR="00157281" w:rsidRPr="008932E5" w:rsidRDefault="00157281" w:rsidP="00157281">
      <w:pPr>
        <w:pStyle w:val="Encabezado"/>
        <w:tabs>
          <w:tab w:val="clear" w:pos="4320"/>
          <w:tab w:val="clear" w:pos="8640"/>
        </w:tabs>
        <w:ind w:left="360"/>
        <w:jc w:val="both"/>
        <w:rPr>
          <w:rFonts w:asciiTheme="minorHAnsi" w:hAnsiTheme="minorHAnsi"/>
          <w:b/>
          <w:lang w:val="es-ES"/>
        </w:rPr>
      </w:pPr>
    </w:p>
    <w:p w:rsidR="006B6683" w:rsidRDefault="006B6683" w:rsidP="000E0978">
      <w:pPr>
        <w:pStyle w:val="Encabezado"/>
        <w:tabs>
          <w:tab w:val="clear" w:pos="4320"/>
          <w:tab w:val="clear" w:pos="8640"/>
        </w:tabs>
        <w:jc w:val="both"/>
        <w:rPr>
          <w:rFonts w:asciiTheme="majorHAnsi" w:hAnsiTheme="majorHAnsi" w:cstheme="majorHAnsi"/>
          <w:b/>
          <w:lang w:val="es-MX"/>
        </w:rPr>
      </w:pPr>
    </w:p>
    <w:p w:rsidR="00157281" w:rsidRPr="00D441DB" w:rsidRDefault="00157281" w:rsidP="000E0978">
      <w:pPr>
        <w:pStyle w:val="Encabezado"/>
        <w:tabs>
          <w:tab w:val="clear" w:pos="4320"/>
          <w:tab w:val="clear" w:pos="8640"/>
        </w:tabs>
        <w:jc w:val="both"/>
        <w:rPr>
          <w:rFonts w:asciiTheme="majorHAnsi" w:hAnsiTheme="majorHAnsi" w:cstheme="majorHAnsi"/>
          <w:b/>
          <w:lang w:val="es-MX"/>
        </w:rPr>
      </w:pPr>
      <w:r w:rsidRPr="00D441DB">
        <w:rPr>
          <w:rFonts w:asciiTheme="majorHAnsi" w:hAnsiTheme="majorHAnsi" w:cstheme="majorHAnsi"/>
          <w:b/>
          <w:lang w:val="es-MX"/>
        </w:rPr>
        <w:t>PRESUPUESTO Y FORMA DE PAGO</w:t>
      </w:r>
    </w:p>
    <w:p w:rsidR="00157281" w:rsidRPr="00D441DB" w:rsidRDefault="00157281" w:rsidP="00157281">
      <w:pPr>
        <w:pStyle w:val="Encabezado"/>
        <w:jc w:val="both"/>
        <w:rPr>
          <w:rFonts w:ascii="Calibri Light" w:hAnsi="Calibri Light" w:cs="Calibri Light"/>
          <w:sz w:val="22"/>
          <w:szCs w:val="22"/>
          <w:lang w:val="es-MX"/>
        </w:rPr>
      </w:pPr>
    </w:p>
    <w:p w:rsidR="00157281" w:rsidRDefault="00157281" w:rsidP="00157281">
      <w:pPr>
        <w:pStyle w:val="Encabezado"/>
        <w:jc w:val="both"/>
        <w:rPr>
          <w:rFonts w:ascii="Calibri Light" w:hAnsi="Calibri Light" w:cs="Calibri Light"/>
          <w:sz w:val="22"/>
          <w:szCs w:val="22"/>
          <w:lang w:val="es-ES"/>
        </w:rPr>
      </w:pPr>
      <w:r w:rsidRPr="00D441DB">
        <w:rPr>
          <w:rFonts w:ascii="Calibri Light" w:hAnsi="Calibri Light" w:cs="Calibri Light"/>
          <w:sz w:val="22"/>
          <w:szCs w:val="22"/>
          <w:lang w:val="es-ES"/>
        </w:rPr>
        <w:t>El monto total del contrato es de U$S 1</w:t>
      </w:r>
      <w:r w:rsidR="00276E48">
        <w:rPr>
          <w:rFonts w:ascii="Calibri Light" w:hAnsi="Calibri Light" w:cs="Calibri Light"/>
          <w:sz w:val="22"/>
          <w:szCs w:val="22"/>
          <w:lang w:val="es-ES"/>
        </w:rPr>
        <w:t>4</w:t>
      </w:r>
      <w:r w:rsidRPr="00D441DB">
        <w:rPr>
          <w:rFonts w:ascii="Calibri Light" w:hAnsi="Calibri Light" w:cs="Calibri Light"/>
          <w:sz w:val="22"/>
          <w:szCs w:val="22"/>
          <w:lang w:val="es-ES"/>
        </w:rPr>
        <w:t xml:space="preserve">.000.- (dólares americanos </w:t>
      </w:r>
      <w:r w:rsidR="00711781">
        <w:rPr>
          <w:rFonts w:ascii="Calibri Light" w:hAnsi="Calibri Light" w:cs="Calibri Light"/>
          <w:sz w:val="22"/>
          <w:szCs w:val="22"/>
          <w:lang w:val="es-ES"/>
        </w:rPr>
        <w:t>catorce</w:t>
      </w:r>
      <w:r w:rsidRPr="00D441DB">
        <w:rPr>
          <w:rFonts w:ascii="Calibri Light" w:hAnsi="Calibri Light" w:cs="Calibri Light"/>
          <w:sz w:val="22"/>
          <w:szCs w:val="22"/>
          <w:lang w:val="es-ES"/>
        </w:rPr>
        <w:t xml:space="preserve"> mil</w:t>
      </w:r>
      <w:r w:rsidR="000E0978" w:rsidRPr="00D441DB">
        <w:rPr>
          <w:rFonts w:ascii="Calibri Light" w:hAnsi="Calibri Light" w:cs="Calibri Light"/>
          <w:sz w:val="22"/>
          <w:szCs w:val="22"/>
          <w:lang w:val="es-ES"/>
        </w:rPr>
        <w:t xml:space="preserve">, </w:t>
      </w:r>
      <w:r w:rsidR="007F401E" w:rsidRPr="00D441DB">
        <w:rPr>
          <w:rFonts w:ascii="Calibri Light" w:hAnsi="Calibri Light" w:cs="Calibri Light"/>
          <w:sz w:val="22"/>
          <w:szCs w:val="22"/>
          <w:lang w:val="es-ES"/>
        </w:rPr>
        <w:t>más</w:t>
      </w:r>
      <w:r w:rsidR="000E0978" w:rsidRPr="00D441DB">
        <w:rPr>
          <w:rFonts w:ascii="Calibri Light" w:hAnsi="Calibri Light" w:cs="Calibri Light"/>
          <w:sz w:val="22"/>
          <w:szCs w:val="22"/>
          <w:lang w:val="es-ES"/>
        </w:rPr>
        <w:t xml:space="preserve"> IVA</w:t>
      </w:r>
      <w:r w:rsidR="00711781">
        <w:rPr>
          <w:rFonts w:ascii="Calibri Light" w:hAnsi="Calibri Light" w:cs="Calibri Light"/>
          <w:sz w:val="22"/>
          <w:szCs w:val="22"/>
          <w:lang w:val="es-ES"/>
        </w:rPr>
        <w:t xml:space="preserve"> y </w:t>
      </w:r>
      <w:r w:rsidR="00276E48">
        <w:rPr>
          <w:rFonts w:ascii="Calibri Light" w:hAnsi="Calibri Light" w:cs="Calibri Light"/>
          <w:sz w:val="22"/>
          <w:szCs w:val="22"/>
          <w:lang w:val="es-ES"/>
        </w:rPr>
        <w:t>gastos de traslados</w:t>
      </w:r>
      <w:r w:rsidR="00711781">
        <w:rPr>
          <w:rFonts w:ascii="Calibri Light" w:hAnsi="Calibri Light" w:cs="Calibri Light"/>
          <w:sz w:val="22"/>
          <w:szCs w:val="22"/>
          <w:lang w:val="es-ES"/>
        </w:rPr>
        <w:t>)</w:t>
      </w:r>
      <w:r w:rsidR="00276E48">
        <w:rPr>
          <w:rFonts w:ascii="Calibri Light" w:hAnsi="Calibri Light" w:cs="Calibri Light"/>
          <w:sz w:val="22"/>
          <w:szCs w:val="22"/>
          <w:lang w:val="es-ES"/>
        </w:rPr>
        <w:t xml:space="preserve">, </w:t>
      </w:r>
      <w:r w:rsidR="000E0978" w:rsidRPr="00D441DB">
        <w:rPr>
          <w:rFonts w:ascii="Calibri Light" w:hAnsi="Calibri Light" w:cs="Calibri Light"/>
          <w:sz w:val="22"/>
          <w:szCs w:val="22"/>
          <w:lang w:val="es-ES"/>
        </w:rPr>
        <w:t xml:space="preserve">a abonar de la </w:t>
      </w:r>
      <w:r w:rsidRPr="00D441DB">
        <w:rPr>
          <w:rFonts w:ascii="Calibri Light" w:hAnsi="Calibri Light" w:cs="Calibri Light"/>
          <w:sz w:val="22"/>
          <w:szCs w:val="22"/>
          <w:lang w:val="es-ES"/>
        </w:rPr>
        <w:t>siguiente manera:</w:t>
      </w:r>
    </w:p>
    <w:p w:rsidR="00276E48" w:rsidRPr="00D441DB" w:rsidRDefault="00276E48" w:rsidP="00157281">
      <w:pPr>
        <w:pStyle w:val="Encabezado"/>
        <w:jc w:val="both"/>
        <w:rPr>
          <w:rFonts w:ascii="Calibri Light" w:hAnsi="Calibri Light" w:cs="Calibri Light"/>
          <w:sz w:val="22"/>
          <w:szCs w:val="22"/>
          <w:lang w:val="es-ES"/>
        </w:rPr>
      </w:pPr>
    </w:p>
    <w:p w:rsidR="00157281" w:rsidRPr="00D441DB" w:rsidRDefault="00157281" w:rsidP="00276E48">
      <w:pPr>
        <w:pStyle w:val="Encabezado"/>
        <w:numPr>
          <w:ilvl w:val="0"/>
          <w:numId w:val="7"/>
        </w:numPr>
        <w:spacing w:before="120"/>
        <w:ind w:left="1423" w:hanging="357"/>
        <w:contextualSpacing/>
        <w:jc w:val="both"/>
        <w:rPr>
          <w:rFonts w:ascii="Calibri Light" w:hAnsi="Calibri Light" w:cs="Calibri Light"/>
          <w:sz w:val="22"/>
          <w:szCs w:val="22"/>
          <w:lang w:val="es-ES"/>
        </w:rPr>
      </w:pPr>
      <w:r w:rsidRPr="00D441DB">
        <w:rPr>
          <w:rFonts w:ascii="Calibri Light" w:hAnsi="Calibri Light" w:cs="Calibri Light"/>
          <w:sz w:val="22"/>
          <w:szCs w:val="22"/>
          <w:lang w:val="es-ES"/>
        </w:rPr>
        <w:t xml:space="preserve">20 % una vez aprobado el producto </w:t>
      </w:r>
      <w:r w:rsidR="000E0978" w:rsidRPr="00D441DB">
        <w:rPr>
          <w:rFonts w:ascii="Calibri Light" w:hAnsi="Calibri Light" w:cs="Calibri Light"/>
          <w:sz w:val="22"/>
          <w:szCs w:val="22"/>
          <w:lang w:val="es-ES"/>
        </w:rPr>
        <w:t>1</w:t>
      </w:r>
    </w:p>
    <w:p w:rsidR="00157281" w:rsidRPr="00D441DB" w:rsidRDefault="00FF0471" w:rsidP="00276E48">
      <w:pPr>
        <w:pStyle w:val="Encabezado"/>
        <w:numPr>
          <w:ilvl w:val="0"/>
          <w:numId w:val="7"/>
        </w:numPr>
        <w:spacing w:before="120"/>
        <w:ind w:left="1423" w:hanging="357"/>
        <w:contextualSpacing/>
        <w:jc w:val="both"/>
        <w:rPr>
          <w:rFonts w:ascii="Calibri Light" w:hAnsi="Calibri Light" w:cs="Calibri Light"/>
          <w:sz w:val="22"/>
          <w:szCs w:val="22"/>
          <w:lang w:val="es-ES"/>
        </w:rPr>
      </w:pPr>
      <w:r>
        <w:rPr>
          <w:rFonts w:ascii="Calibri Light" w:hAnsi="Calibri Light" w:cs="Calibri Light"/>
          <w:sz w:val="22"/>
          <w:szCs w:val="22"/>
          <w:lang w:val="es-ES"/>
        </w:rPr>
        <w:t>5</w:t>
      </w:r>
      <w:r w:rsidR="00157281" w:rsidRPr="00D441DB">
        <w:rPr>
          <w:rFonts w:ascii="Calibri Light" w:hAnsi="Calibri Light" w:cs="Calibri Light"/>
          <w:sz w:val="22"/>
          <w:szCs w:val="22"/>
          <w:lang w:val="es-ES"/>
        </w:rPr>
        <w:t>0 % una vez aprobado el producto 2</w:t>
      </w:r>
    </w:p>
    <w:p w:rsidR="00157281" w:rsidRPr="00D441DB" w:rsidRDefault="00FF0471" w:rsidP="00276E48">
      <w:pPr>
        <w:pStyle w:val="Encabezado"/>
        <w:numPr>
          <w:ilvl w:val="0"/>
          <w:numId w:val="7"/>
        </w:numPr>
        <w:spacing w:before="120"/>
        <w:ind w:left="1423" w:hanging="357"/>
        <w:contextualSpacing/>
        <w:jc w:val="both"/>
        <w:rPr>
          <w:rFonts w:ascii="Calibri Light" w:hAnsi="Calibri Light" w:cs="Calibri Light"/>
          <w:sz w:val="22"/>
          <w:szCs w:val="22"/>
          <w:lang w:val="es-ES"/>
        </w:rPr>
      </w:pPr>
      <w:r>
        <w:rPr>
          <w:rFonts w:ascii="Calibri Light" w:hAnsi="Calibri Light" w:cs="Calibri Light"/>
          <w:sz w:val="22"/>
          <w:szCs w:val="22"/>
          <w:lang w:val="es-ES"/>
        </w:rPr>
        <w:t>3</w:t>
      </w:r>
      <w:r w:rsidR="00157281" w:rsidRPr="00D441DB">
        <w:rPr>
          <w:rFonts w:ascii="Calibri Light" w:hAnsi="Calibri Light" w:cs="Calibri Light"/>
          <w:sz w:val="22"/>
          <w:szCs w:val="22"/>
          <w:lang w:val="es-ES"/>
        </w:rPr>
        <w:t xml:space="preserve">0 % una vez aprobado el producto </w:t>
      </w:r>
      <w:r w:rsidR="000E0978" w:rsidRPr="00D441DB">
        <w:rPr>
          <w:rFonts w:ascii="Calibri Light" w:hAnsi="Calibri Light" w:cs="Calibri Light"/>
          <w:sz w:val="22"/>
          <w:szCs w:val="22"/>
          <w:lang w:val="es-ES"/>
        </w:rPr>
        <w:t>3</w:t>
      </w:r>
    </w:p>
    <w:p w:rsidR="00D441DB" w:rsidRPr="00D441DB" w:rsidRDefault="00D441DB" w:rsidP="00157281">
      <w:pPr>
        <w:pStyle w:val="Encabezado"/>
        <w:jc w:val="both"/>
        <w:rPr>
          <w:rFonts w:ascii="Calibri Light" w:hAnsi="Calibri Light" w:cs="Calibri Light"/>
          <w:sz w:val="22"/>
          <w:szCs w:val="22"/>
          <w:lang w:val="es-ES"/>
        </w:rPr>
      </w:pPr>
    </w:p>
    <w:p w:rsidR="00157281" w:rsidRPr="00D441DB" w:rsidRDefault="00157281" w:rsidP="00157281">
      <w:pPr>
        <w:pStyle w:val="Encabezado"/>
        <w:jc w:val="both"/>
        <w:rPr>
          <w:rFonts w:ascii="Calibri Light" w:hAnsi="Calibri Light" w:cs="Calibri Light"/>
          <w:sz w:val="22"/>
          <w:szCs w:val="22"/>
          <w:lang w:val="es-ES"/>
        </w:rPr>
      </w:pPr>
      <w:r w:rsidRPr="00D441DB">
        <w:rPr>
          <w:rFonts w:ascii="Calibri Light" w:hAnsi="Calibri Light" w:cs="Calibri Light"/>
          <w:sz w:val="22"/>
          <w:szCs w:val="22"/>
          <w:lang w:val="es-ES"/>
        </w:rPr>
        <w:t>El Consultor presentará la factura correspondiente a nombre de Uruguay XXI, una vez recibida la comunicación de la aprobación de cada producto.</w:t>
      </w:r>
    </w:p>
    <w:p w:rsidR="00157281" w:rsidRPr="00D441DB" w:rsidRDefault="00157281" w:rsidP="00157281">
      <w:pPr>
        <w:pStyle w:val="Encabezado"/>
        <w:jc w:val="both"/>
        <w:rPr>
          <w:rFonts w:ascii="Calibri Light" w:hAnsi="Calibri Light" w:cs="Calibri Light"/>
          <w:sz w:val="22"/>
          <w:szCs w:val="22"/>
          <w:lang w:val="es-ES"/>
        </w:rPr>
      </w:pPr>
    </w:p>
    <w:p w:rsidR="00157281" w:rsidRPr="00D441DB" w:rsidRDefault="00157281" w:rsidP="00157281">
      <w:pPr>
        <w:pStyle w:val="Encabezado"/>
        <w:jc w:val="both"/>
        <w:rPr>
          <w:rFonts w:ascii="Calibri Light" w:hAnsi="Calibri Light" w:cs="Calibri Light"/>
          <w:sz w:val="22"/>
          <w:szCs w:val="22"/>
          <w:lang w:val="es-ES"/>
        </w:rPr>
      </w:pPr>
      <w:r w:rsidRPr="00D441DB">
        <w:rPr>
          <w:rFonts w:ascii="Calibri Light" w:hAnsi="Calibri Light" w:cs="Calibri Light"/>
          <w:sz w:val="22"/>
          <w:szCs w:val="22"/>
          <w:lang w:val="es-ES"/>
        </w:rPr>
        <w:t>Uruguay XXI retendrá los impuestos que correspondan según la Ley vigente.</w:t>
      </w:r>
    </w:p>
    <w:p w:rsidR="00157281" w:rsidRPr="00D441DB" w:rsidRDefault="00157281" w:rsidP="00157281">
      <w:pPr>
        <w:pStyle w:val="Encabezado"/>
        <w:jc w:val="both"/>
        <w:rPr>
          <w:rFonts w:ascii="Calibri Light" w:hAnsi="Calibri Light" w:cs="Calibri Light"/>
          <w:sz w:val="22"/>
          <w:szCs w:val="22"/>
          <w:lang w:val="es-ES"/>
        </w:rPr>
      </w:pPr>
    </w:p>
    <w:p w:rsidR="00E55F57" w:rsidRDefault="00E55F57" w:rsidP="000E0978">
      <w:pPr>
        <w:pStyle w:val="Encabezado"/>
        <w:tabs>
          <w:tab w:val="clear" w:pos="4320"/>
          <w:tab w:val="clear" w:pos="8640"/>
        </w:tabs>
        <w:jc w:val="both"/>
        <w:rPr>
          <w:rFonts w:asciiTheme="majorHAnsi" w:hAnsiTheme="majorHAnsi" w:cstheme="majorHAnsi"/>
          <w:b/>
          <w:sz w:val="22"/>
          <w:lang w:val="es-MX"/>
        </w:rPr>
      </w:pPr>
    </w:p>
    <w:p w:rsidR="00157281" w:rsidRPr="00D441DB" w:rsidRDefault="00157281" w:rsidP="000E0978">
      <w:pPr>
        <w:pStyle w:val="Encabezado"/>
        <w:tabs>
          <w:tab w:val="clear" w:pos="4320"/>
          <w:tab w:val="clear" w:pos="8640"/>
        </w:tabs>
        <w:jc w:val="both"/>
        <w:rPr>
          <w:rFonts w:asciiTheme="majorHAnsi" w:hAnsiTheme="majorHAnsi" w:cstheme="majorHAnsi"/>
          <w:b/>
          <w:sz w:val="22"/>
          <w:lang w:val="es-MX"/>
        </w:rPr>
      </w:pPr>
      <w:r w:rsidRPr="00D441DB">
        <w:rPr>
          <w:rFonts w:asciiTheme="majorHAnsi" w:hAnsiTheme="majorHAnsi" w:cstheme="majorHAnsi"/>
          <w:b/>
          <w:sz w:val="22"/>
          <w:lang w:val="es-MX"/>
        </w:rPr>
        <w:t>PERFIL DEL CONSULTOR</w:t>
      </w:r>
    </w:p>
    <w:p w:rsidR="00157281" w:rsidRPr="00D441DB" w:rsidRDefault="00157281" w:rsidP="00157281">
      <w:pPr>
        <w:pStyle w:val="Encabezado"/>
        <w:tabs>
          <w:tab w:val="clear" w:pos="4320"/>
          <w:tab w:val="clear" w:pos="8640"/>
        </w:tabs>
        <w:ind w:left="360"/>
        <w:jc w:val="both"/>
        <w:rPr>
          <w:rFonts w:asciiTheme="minorHAnsi" w:hAnsiTheme="minorHAnsi"/>
          <w:b/>
          <w:lang w:val="es-MX"/>
        </w:rPr>
      </w:pPr>
    </w:p>
    <w:p w:rsidR="000E0978" w:rsidRDefault="00157281" w:rsidP="00157281">
      <w:pPr>
        <w:jc w:val="both"/>
        <w:rPr>
          <w:rFonts w:ascii="Calibri Light" w:hAnsi="Calibri Light" w:cs="Calibri Light"/>
        </w:rPr>
      </w:pPr>
      <w:r w:rsidRPr="00D441DB">
        <w:rPr>
          <w:rFonts w:ascii="Calibri Light" w:hAnsi="Calibri Light" w:cs="Calibri Light"/>
        </w:rPr>
        <w:t xml:space="preserve">Profesional universitario dentro de las áreas de Economía, </w:t>
      </w:r>
      <w:r w:rsidR="000E0978" w:rsidRPr="00D441DB">
        <w:rPr>
          <w:rFonts w:ascii="Calibri Light" w:hAnsi="Calibri Light" w:cs="Calibri Light"/>
        </w:rPr>
        <w:t xml:space="preserve">Sociología, </w:t>
      </w:r>
      <w:r w:rsidRPr="00D441DB">
        <w:rPr>
          <w:rFonts w:ascii="Calibri Light" w:hAnsi="Calibri Light" w:cs="Calibri Light"/>
        </w:rPr>
        <w:t xml:space="preserve">o afines. Asimismo, deberá contar con una sólida experiencia en </w:t>
      </w:r>
      <w:r w:rsidR="000E0978" w:rsidRPr="00D441DB">
        <w:rPr>
          <w:rFonts w:ascii="Calibri Light" w:hAnsi="Calibri Light" w:cs="Calibri Light"/>
        </w:rPr>
        <w:t xml:space="preserve">estudios socioeconómicos. </w:t>
      </w:r>
      <w:r w:rsidR="00420C49">
        <w:rPr>
          <w:rFonts w:ascii="Calibri Light" w:hAnsi="Calibri Light" w:cs="Calibri Light"/>
        </w:rPr>
        <w:t>Se valorará positivamente la vinculación con la temática del trabajo</w:t>
      </w:r>
      <w:r w:rsidR="005B4B8A">
        <w:rPr>
          <w:rFonts w:ascii="Calibri Light" w:hAnsi="Calibri Light" w:cs="Calibri Light"/>
        </w:rPr>
        <w:t xml:space="preserve"> y la experiencia internacional.</w:t>
      </w:r>
    </w:p>
    <w:p w:rsidR="00B61897" w:rsidRDefault="00B61897" w:rsidP="00157281">
      <w:pPr>
        <w:jc w:val="both"/>
        <w:rPr>
          <w:rFonts w:ascii="Calibri Light" w:hAnsi="Calibri Light" w:cs="Calibri Light"/>
        </w:rPr>
      </w:pPr>
    </w:p>
    <w:p w:rsidR="00B61897" w:rsidRDefault="00B61897" w:rsidP="00157281">
      <w:pPr>
        <w:jc w:val="both"/>
        <w:rPr>
          <w:rFonts w:ascii="Calibri Light" w:hAnsi="Calibri Light" w:cs="Calibri Light"/>
          <w:b/>
        </w:rPr>
      </w:pPr>
      <w:r>
        <w:rPr>
          <w:rFonts w:ascii="Calibri Light" w:hAnsi="Calibri Light" w:cs="Calibri Light"/>
          <w:b/>
        </w:rPr>
        <w:t>POSTULACIÓN</w:t>
      </w:r>
    </w:p>
    <w:p w:rsidR="00B61897" w:rsidRPr="00B61897" w:rsidRDefault="00B61897" w:rsidP="00157281">
      <w:pPr>
        <w:jc w:val="both"/>
        <w:rPr>
          <w:rFonts w:ascii="Calibri Light" w:hAnsi="Calibri Light" w:cs="Calibri Light"/>
        </w:rPr>
      </w:pPr>
      <w:r>
        <w:rPr>
          <w:rFonts w:ascii="Calibri Light" w:hAnsi="Calibri Light" w:cs="Calibri Light"/>
        </w:rPr>
        <w:t xml:space="preserve">Las personas interesadas deberán enviar su postulación a </w:t>
      </w:r>
      <w:hyperlink r:id="rId9" w:history="1">
        <w:r w:rsidRPr="00EC7D0B">
          <w:rPr>
            <w:rStyle w:val="Hipervnculo"/>
            <w:rFonts w:ascii="Calibri Light" w:hAnsi="Calibri Light" w:cs="Calibri Light"/>
          </w:rPr>
          <w:t>llamadosconsultoria@uruguayxxi.gub.uy</w:t>
        </w:r>
      </w:hyperlink>
      <w:r>
        <w:rPr>
          <w:rFonts w:ascii="Calibri Light" w:hAnsi="Calibri Light" w:cs="Calibri Light"/>
        </w:rPr>
        <w:t xml:space="preserve"> hasta el día 4 de octubre de 2019.</w:t>
      </w:r>
    </w:p>
    <w:sectPr w:rsidR="00B61897" w:rsidRPr="00B61897" w:rsidSect="00F44B3C">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7B0" w:rsidRDefault="00A227B0" w:rsidP="000E377A">
      <w:pPr>
        <w:spacing w:after="0" w:line="240" w:lineRule="auto"/>
      </w:pPr>
      <w:r>
        <w:separator/>
      </w:r>
    </w:p>
  </w:endnote>
  <w:endnote w:type="continuationSeparator" w:id="0">
    <w:p w:rsidR="00A227B0" w:rsidRDefault="00A227B0" w:rsidP="000E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7B0" w:rsidRDefault="00A227B0" w:rsidP="000E377A">
      <w:pPr>
        <w:spacing w:after="0" w:line="240" w:lineRule="auto"/>
      </w:pPr>
      <w:r>
        <w:separator/>
      </w:r>
    </w:p>
  </w:footnote>
  <w:footnote w:type="continuationSeparator" w:id="0">
    <w:p w:rsidR="00A227B0" w:rsidRDefault="00A227B0" w:rsidP="000E377A">
      <w:pPr>
        <w:spacing w:after="0" w:line="240" w:lineRule="auto"/>
      </w:pPr>
      <w:r>
        <w:continuationSeparator/>
      </w:r>
    </w:p>
  </w:footnote>
  <w:footnote w:id="1">
    <w:p w:rsidR="000E377A" w:rsidRPr="000E377A" w:rsidRDefault="000E377A">
      <w:pPr>
        <w:pStyle w:val="Textonotapie"/>
        <w:rPr>
          <w:rFonts w:asciiTheme="majorHAnsi" w:hAnsiTheme="majorHAnsi" w:cstheme="majorHAnsi"/>
          <w:lang w:val="es-UY"/>
        </w:rPr>
      </w:pPr>
      <w:r w:rsidRPr="000E377A">
        <w:rPr>
          <w:rStyle w:val="Refdenotaalpie"/>
          <w:rFonts w:asciiTheme="majorHAnsi" w:hAnsiTheme="majorHAnsi" w:cstheme="majorHAnsi"/>
        </w:rPr>
        <w:footnoteRef/>
      </w:r>
      <w:r w:rsidRPr="000E377A">
        <w:rPr>
          <w:rFonts w:asciiTheme="majorHAnsi" w:hAnsiTheme="majorHAnsi" w:cstheme="majorHAnsi"/>
        </w:rPr>
        <w:t xml:space="preserve"> </w:t>
      </w:r>
      <w:r w:rsidRPr="000E377A">
        <w:rPr>
          <w:rFonts w:asciiTheme="majorHAnsi" w:hAnsiTheme="majorHAnsi" w:cstheme="majorHAnsi"/>
          <w:lang w:val="es-UY"/>
        </w:rPr>
        <w:t xml:space="preserve">Ej. </w:t>
      </w:r>
      <w:r>
        <w:rPr>
          <w:rFonts w:asciiTheme="majorHAnsi" w:hAnsiTheme="majorHAnsi" w:cstheme="majorHAnsi"/>
          <w:lang w:val="es-UY"/>
        </w:rPr>
        <w:t xml:space="preserve">Consultoría en transferencia de tecnología, </w:t>
      </w:r>
      <w:proofErr w:type="spellStart"/>
      <w:proofErr w:type="gramStart"/>
      <w:r>
        <w:rPr>
          <w:rFonts w:asciiTheme="majorHAnsi" w:hAnsiTheme="majorHAnsi" w:cstheme="majorHAnsi"/>
          <w:lang w:val="es-UY"/>
        </w:rPr>
        <w:t>G.Gualtieri</w:t>
      </w:r>
      <w:proofErr w:type="spellEnd"/>
      <w:proofErr w:type="gramEnd"/>
      <w:r>
        <w:rPr>
          <w:rFonts w:asciiTheme="majorHAnsi" w:hAnsiTheme="majorHAnsi" w:cstheme="majorHAnsi"/>
          <w:lang w:val="es-UY"/>
        </w:rPr>
        <w:t>, ANII, 2014; Estrategia nacional de Desarrollo END 2050; Informe de Orientación en la creación de una Agencia de Transferencia Tecnológica, E. Canetti, MIEM-DNI, 2012; Proyecto REDPI, MIEM-DNI, 2012-2015;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3DE"/>
    <w:multiLevelType w:val="multilevel"/>
    <w:tmpl w:val="AB5A3460"/>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Calibri Light" w:eastAsia="Times New Roman" w:hAnsi="Calibri Light" w:cs="Calibri Ligh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347256"/>
    <w:multiLevelType w:val="hybridMultilevel"/>
    <w:tmpl w:val="27CE79F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3EE3CE4"/>
    <w:multiLevelType w:val="hybridMultilevel"/>
    <w:tmpl w:val="2D265FA0"/>
    <w:lvl w:ilvl="0" w:tplc="E0CA3B08">
      <w:numFmt w:val="bullet"/>
      <w:lvlText w:val="-"/>
      <w:lvlJc w:val="left"/>
      <w:pPr>
        <w:ind w:left="720" w:hanging="360"/>
      </w:pPr>
      <w:rPr>
        <w:rFonts w:ascii="Calibri" w:eastAsiaTheme="minorHAnsi" w:hAnsi="Calibri" w:cs="Calibr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43F853A5"/>
    <w:multiLevelType w:val="hybridMultilevel"/>
    <w:tmpl w:val="52F4AD82"/>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4" w15:restartNumberingAfterBreak="0">
    <w:nsid w:val="5207172B"/>
    <w:multiLevelType w:val="hybridMultilevel"/>
    <w:tmpl w:val="9CB8D674"/>
    <w:lvl w:ilvl="0" w:tplc="F5AC53A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B7B20C5"/>
    <w:multiLevelType w:val="multilevel"/>
    <w:tmpl w:val="B23E7F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E3045E7"/>
    <w:multiLevelType w:val="hybridMultilevel"/>
    <w:tmpl w:val="E7DEDC9C"/>
    <w:lvl w:ilvl="0" w:tplc="B6D21FCE">
      <w:numFmt w:val="bullet"/>
      <w:lvlText w:val="-"/>
      <w:lvlJc w:val="left"/>
      <w:pPr>
        <w:ind w:left="1428" w:hanging="360"/>
      </w:pPr>
      <w:rPr>
        <w:rFonts w:ascii="Calibri" w:eastAsiaTheme="minorHAnsi" w:hAnsi="Calibri" w:cs="Calibri"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8C"/>
    <w:rsid w:val="000346B4"/>
    <w:rsid w:val="000E01BA"/>
    <w:rsid w:val="000E0978"/>
    <w:rsid w:val="000E377A"/>
    <w:rsid w:val="00141951"/>
    <w:rsid w:val="0014439A"/>
    <w:rsid w:val="00157281"/>
    <w:rsid w:val="0016099C"/>
    <w:rsid w:val="002234F6"/>
    <w:rsid w:val="00271049"/>
    <w:rsid w:val="00273129"/>
    <w:rsid w:val="00276E48"/>
    <w:rsid w:val="0028035E"/>
    <w:rsid w:val="002E5CC7"/>
    <w:rsid w:val="00301437"/>
    <w:rsid w:val="00302BC6"/>
    <w:rsid w:val="003063F6"/>
    <w:rsid w:val="00340CB3"/>
    <w:rsid w:val="003560C4"/>
    <w:rsid w:val="00375190"/>
    <w:rsid w:val="00382BF3"/>
    <w:rsid w:val="003B24F8"/>
    <w:rsid w:val="004206DD"/>
    <w:rsid w:val="00420C49"/>
    <w:rsid w:val="004220C4"/>
    <w:rsid w:val="00424D61"/>
    <w:rsid w:val="0046642E"/>
    <w:rsid w:val="004C112E"/>
    <w:rsid w:val="004E265E"/>
    <w:rsid w:val="005268E3"/>
    <w:rsid w:val="00535148"/>
    <w:rsid w:val="0058030D"/>
    <w:rsid w:val="005B0121"/>
    <w:rsid w:val="005B4B8A"/>
    <w:rsid w:val="005D6E56"/>
    <w:rsid w:val="0062108A"/>
    <w:rsid w:val="00671E98"/>
    <w:rsid w:val="006B08AA"/>
    <w:rsid w:val="006B6683"/>
    <w:rsid w:val="00711781"/>
    <w:rsid w:val="00712A44"/>
    <w:rsid w:val="00736C85"/>
    <w:rsid w:val="00754DB1"/>
    <w:rsid w:val="007C721D"/>
    <w:rsid w:val="007F401E"/>
    <w:rsid w:val="007F69AC"/>
    <w:rsid w:val="008248E7"/>
    <w:rsid w:val="00864F16"/>
    <w:rsid w:val="008932E5"/>
    <w:rsid w:val="00894D96"/>
    <w:rsid w:val="008C7940"/>
    <w:rsid w:val="008E129C"/>
    <w:rsid w:val="008E56B7"/>
    <w:rsid w:val="008F2978"/>
    <w:rsid w:val="00907340"/>
    <w:rsid w:val="00932697"/>
    <w:rsid w:val="00947A18"/>
    <w:rsid w:val="009743CA"/>
    <w:rsid w:val="009911A3"/>
    <w:rsid w:val="009C4845"/>
    <w:rsid w:val="009E768B"/>
    <w:rsid w:val="00A227B0"/>
    <w:rsid w:val="00AC0402"/>
    <w:rsid w:val="00AC6FF0"/>
    <w:rsid w:val="00B427BD"/>
    <w:rsid w:val="00B57027"/>
    <w:rsid w:val="00B61897"/>
    <w:rsid w:val="00B92A61"/>
    <w:rsid w:val="00B97CE7"/>
    <w:rsid w:val="00BA39C7"/>
    <w:rsid w:val="00BE705C"/>
    <w:rsid w:val="00BE7A0E"/>
    <w:rsid w:val="00C836C5"/>
    <w:rsid w:val="00C92B8C"/>
    <w:rsid w:val="00D05F85"/>
    <w:rsid w:val="00D20E28"/>
    <w:rsid w:val="00D24359"/>
    <w:rsid w:val="00D441DB"/>
    <w:rsid w:val="00D53F4E"/>
    <w:rsid w:val="00DE4AEB"/>
    <w:rsid w:val="00DE4F5E"/>
    <w:rsid w:val="00DF094C"/>
    <w:rsid w:val="00E212EE"/>
    <w:rsid w:val="00E4146D"/>
    <w:rsid w:val="00E55F57"/>
    <w:rsid w:val="00E66B92"/>
    <w:rsid w:val="00F44B3C"/>
    <w:rsid w:val="00FD2CD2"/>
    <w:rsid w:val="00FF047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39B1"/>
  <w15:chartTrackingRefBased/>
  <w15:docId w15:val="{6F8DE51A-08DC-4B3E-B747-E5A8C93F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D61"/>
    <w:pPr>
      <w:ind w:left="720"/>
      <w:contextualSpacing/>
    </w:pPr>
  </w:style>
  <w:style w:type="character" w:styleId="Refdecomentario">
    <w:name w:val="annotation reference"/>
    <w:basedOn w:val="Fuentedeprrafopredeter"/>
    <w:uiPriority w:val="99"/>
    <w:semiHidden/>
    <w:unhideWhenUsed/>
    <w:rsid w:val="009E768B"/>
    <w:rPr>
      <w:sz w:val="16"/>
      <w:szCs w:val="16"/>
    </w:rPr>
  </w:style>
  <w:style w:type="paragraph" w:styleId="Textocomentario">
    <w:name w:val="annotation text"/>
    <w:basedOn w:val="Normal"/>
    <w:link w:val="TextocomentarioCar"/>
    <w:uiPriority w:val="99"/>
    <w:semiHidden/>
    <w:unhideWhenUsed/>
    <w:rsid w:val="009E76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768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9E768B"/>
    <w:rPr>
      <w:b/>
      <w:bCs/>
    </w:rPr>
  </w:style>
  <w:style w:type="character" w:customStyle="1" w:styleId="AsuntodelcomentarioCar">
    <w:name w:val="Asunto del comentario Car"/>
    <w:basedOn w:val="TextocomentarioCar"/>
    <w:link w:val="Asuntodelcomentario"/>
    <w:uiPriority w:val="99"/>
    <w:semiHidden/>
    <w:rsid w:val="009E768B"/>
    <w:rPr>
      <w:b/>
      <w:bCs/>
      <w:sz w:val="20"/>
      <w:szCs w:val="20"/>
      <w:lang w:val="es-ES"/>
    </w:rPr>
  </w:style>
  <w:style w:type="paragraph" w:styleId="Textodeglobo">
    <w:name w:val="Balloon Text"/>
    <w:basedOn w:val="Normal"/>
    <w:link w:val="TextodegloboCar"/>
    <w:uiPriority w:val="99"/>
    <w:semiHidden/>
    <w:unhideWhenUsed/>
    <w:rsid w:val="009E76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68B"/>
    <w:rPr>
      <w:rFonts w:ascii="Segoe UI" w:hAnsi="Segoe UI" w:cs="Segoe UI"/>
      <w:sz w:val="18"/>
      <w:szCs w:val="18"/>
      <w:lang w:val="es-ES"/>
    </w:rPr>
  </w:style>
  <w:style w:type="paragraph" w:styleId="Encabezado">
    <w:name w:val="header"/>
    <w:basedOn w:val="Normal"/>
    <w:link w:val="EncabezadoCar"/>
    <w:uiPriority w:val="99"/>
    <w:rsid w:val="00157281"/>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EncabezadoCar">
    <w:name w:val="Encabezado Car"/>
    <w:basedOn w:val="Fuentedeprrafopredeter"/>
    <w:link w:val="Encabezado"/>
    <w:uiPriority w:val="99"/>
    <w:rsid w:val="00157281"/>
    <w:rPr>
      <w:rFonts w:ascii="Times New Roman" w:eastAsia="Times New Roman" w:hAnsi="Times New Roman" w:cs="Times New Roman"/>
      <w:sz w:val="24"/>
      <w:szCs w:val="20"/>
      <w:lang w:val="en-US"/>
    </w:rPr>
  </w:style>
  <w:style w:type="paragraph" w:styleId="Textonotapie">
    <w:name w:val="footnote text"/>
    <w:basedOn w:val="Normal"/>
    <w:link w:val="TextonotapieCar"/>
    <w:uiPriority w:val="99"/>
    <w:semiHidden/>
    <w:unhideWhenUsed/>
    <w:rsid w:val="000E37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377A"/>
    <w:rPr>
      <w:sz w:val="20"/>
      <w:szCs w:val="20"/>
      <w:lang w:val="es-ES"/>
    </w:rPr>
  </w:style>
  <w:style w:type="character" w:styleId="Refdenotaalpie">
    <w:name w:val="footnote reference"/>
    <w:basedOn w:val="Fuentedeprrafopredeter"/>
    <w:uiPriority w:val="99"/>
    <w:semiHidden/>
    <w:unhideWhenUsed/>
    <w:rsid w:val="000E377A"/>
    <w:rPr>
      <w:vertAlign w:val="superscript"/>
    </w:rPr>
  </w:style>
  <w:style w:type="paragraph" w:styleId="Piedepgina">
    <w:name w:val="footer"/>
    <w:basedOn w:val="Normal"/>
    <w:link w:val="PiedepginaCar"/>
    <w:uiPriority w:val="99"/>
    <w:unhideWhenUsed/>
    <w:rsid w:val="002731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3129"/>
    <w:rPr>
      <w:lang w:val="es-ES"/>
    </w:rPr>
  </w:style>
  <w:style w:type="character" w:styleId="Hipervnculo">
    <w:name w:val="Hyperlink"/>
    <w:basedOn w:val="Fuentedeprrafopredeter"/>
    <w:uiPriority w:val="99"/>
    <w:unhideWhenUsed/>
    <w:rsid w:val="00B61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lamadosconsultoria@uruguayxxi.gub.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9E77-5FD4-41E1-8AD5-8F5FE379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1126</Words>
  <Characters>6198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Paola Díaz Dellavalle</dc:creator>
  <cp:keywords/>
  <dc:description/>
  <cp:lastModifiedBy>Agustin Pedrozo</cp:lastModifiedBy>
  <cp:revision>3</cp:revision>
  <cp:lastPrinted>2019-09-17T17:54:00Z</cp:lastPrinted>
  <dcterms:created xsi:type="dcterms:W3CDTF">2019-09-18T19:08:00Z</dcterms:created>
  <dcterms:modified xsi:type="dcterms:W3CDTF">2019-09-18T19:11:00Z</dcterms:modified>
</cp:coreProperties>
</file>